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F40EB" w:rsidRDefault="00BF40EB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00000002" w14:textId="77777777" w:rsidR="00BF40EB" w:rsidRDefault="00BF40EB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00000003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KUPNÍ SMLOUVA</w:t>
      </w:r>
    </w:p>
    <w:p w14:paraId="00000004" w14:textId="77777777" w:rsidR="00BF40EB" w:rsidRDefault="00BF40EB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</w:pPr>
    </w:p>
    <w:p w14:paraId="00000005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uzavřená níže uvedeného dne, měsíce a roku v souladu s ustanovením § 2079 a násl. zákona č. 89/2012 Sb., občanský zákoník, v platném znění,</w:t>
      </w:r>
    </w:p>
    <w:p w14:paraId="00000006" w14:textId="77777777" w:rsidR="00BF40EB" w:rsidRDefault="0017620D">
      <w:pPr>
        <w:spacing w:line="240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mezi těmito smluvními stranami:</w:t>
      </w:r>
    </w:p>
    <w:p w14:paraId="00000007" w14:textId="77777777" w:rsidR="00BF40EB" w:rsidRDefault="00BF40EB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</w:p>
    <w:p w14:paraId="00000008" w14:textId="77777777" w:rsidR="00BF40EB" w:rsidRDefault="0017620D">
      <w:pPr>
        <w:spacing w:after="60" w:line="240" w:lineRule="auto"/>
        <w:rPr>
          <w:rFonts w:ascii="Arial" w:eastAsia="Arial" w:hAnsi="Arial" w:cs="Arial"/>
          <w:b/>
          <w:sz w:val="23"/>
          <w:szCs w:val="23"/>
          <w:highlight w:val="yellow"/>
        </w:rPr>
      </w:pPr>
      <w:r>
        <w:rPr>
          <w:rFonts w:ascii="Arial" w:eastAsia="Arial" w:hAnsi="Arial" w:cs="Arial"/>
          <w:b/>
          <w:sz w:val="23"/>
          <w:szCs w:val="23"/>
          <w:highlight w:val="yellow"/>
        </w:rPr>
        <w:t>……………………………</w:t>
      </w:r>
    </w:p>
    <w:p w14:paraId="00000009" w14:textId="77777777" w:rsidR="00BF40EB" w:rsidRDefault="0017620D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IČO: </w:t>
      </w:r>
      <w:r>
        <w:rPr>
          <w:rFonts w:ascii="Arial" w:eastAsia="Arial" w:hAnsi="Arial" w:cs="Arial"/>
          <w:sz w:val="23"/>
          <w:szCs w:val="23"/>
          <w:highlight w:val="yellow"/>
        </w:rPr>
        <w:t>………………</w:t>
      </w:r>
    </w:p>
    <w:p w14:paraId="0000000A" w14:textId="77777777" w:rsidR="00BF40EB" w:rsidRDefault="0017620D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DIČ: </w:t>
      </w:r>
      <w:r>
        <w:rPr>
          <w:rFonts w:ascii="Arial" w:eastAsia="Arial" w:hAnsi="Arial" w:cs="Arial"/>
          <w:sz w:val="23"/>
          <w:szCs w:val="23"/>
          <w:highlight w:val="yellow"/>
        </w:rPr>
        <w:t>………………</w:t>
      </w:r>
    </w:p>
    <w:p w14:paraId="0000000B" w14:textId="77777777" w:rsidR="00BF40EB" w:rsidRDefault="0017620D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se sídlem: </w:t>
      </w:r>
      <w:r>
        <w:rPr>
          <w:rFonts w:ascii="Arial" w:eastAsia="Arial" w:hAnsi="Arial" w:cs="Arial"/>
          <w:sz w:val="23"/>
          <w:szCs w:val="23"/>
          <w:highlight w:val="yellow"/>
        </w:rPr>
        <w:t>………………………………………</w:t>
      </w:r>
    </w:p>
    <w:p w14:paraId="0000000C" w14:textId="77777777" w:rsidR="00BF40EB" w:rsidRDefault="0017620D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zapsaná v obchodním rejstříku vedeném </w:t>
      </w:r>
      <w:r>
        <w:rPr>
          <w:rFonts w:ascii="Arial" w:eastAsia="Arial" w:hAnsi="Arial" w:cs="Arial"/>
          <w:sz w:val="23"/>
          <w:szCs w:val="23"/>
          <w:highlight w:val="yellow"/>
        </w:rPr>
        <w:t>…….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3"/>
          <w:szCs w:val="23"/>
        </w:rPr>
        <w:t>soudem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v </w:t>
      </w:r>
      <w:r>
        <w:rPr>
          <w:rFonts w:ascii="Arial" w:eastAsia="Arial" w:hAnsi="Arial" w:cs="Arial"/>
          <w:sz w:val="23"/>
          <w:szCs w:val="23"/>
          <w:highlight w:val="yellow"/>
        </w:rPr>
        <w:t>…….</w:t>
      </w:r>
      <w:r>
        <w:rPr>
          <w:rFonts w:ascii="Arial" w:eastAsia="Arial" w:hAnsi="Arial" w:cs="Arial"/>
          <w:sz w:val="23"/>
          <w:szCs w:val="23"/>
        </w:rPr>
        <w:t xml:space="preserve">, oddíl </w:t>
      </w:r>
      <w:r>
        <w:rPr>
          <w:rFonts w:ascii="Arial" w:eastAsia="Arial" w:hAnsi="Arial" w:cs="Arial"/>
          <w:sz w:val="23"/>
          <w:szCs w:val="23"/>
          <w:highlight w:val="yellow"/>
        </w:rPr>
        <w:t>…</w:t>
      </w:r>
      <w:r>
        <w:rPr>
          <w:rFonts w:ascii="Arial" w:eastAsia="Arial" w:hAnsi="Arial" w:cs="Arial"/>
          <w:sz w:val="23"/>
          <w:szCs w:val="23"/>
        </w:rPr>
        <w:t xml:space="preserve">, vložka </w:t>
      </w:r>
      <w:r>
        <w:rPr>
          <w:rFonts w:ascii="Arial" w:eastAsia="Arial" w:hAnsi="Arial" w:cs="Arial"/>
          <w:sz w:val="23"/>
          <w:szCs w:val="23"/>
          <w:highlight w:val="yellow"/>
        </w:rPr>
        <w:t>…….</w:t>
      </w:r>
    </w:p>
    <w:p w14:paraId="0000000D" w14:textId="77777777" w:rsidR="00BF40EB" w:rsidRDefault="0017620D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zastoupena: </w:t>
      </w:r>
      <w:r>
        <w:rPr>
          <w:rFonts w:ascii="Arial" w:eastAsia="Arial" w:hAnsi="Arial" w:cs="Arial"/>
          <w:sz w:val="23"/>
          <w:szCs w:val="23"/>
          <w:highlight w:val="yellow"/>
        </w:rPr>
        <w:t>…………….</w:t>
      </w:r>
    </w:p>
    <w:p w14:paraId="0000000E" w14:textId="77777777" w:rsidR="00BF40EB" w:rsidRDefault="0017620D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bankovní spojení: </w:t>
      </w:r>
      <w:r>
        <w:rPr>
          <w:rFonts w:ascii="Arial" w:eastAsia="Arial" w:hAnsi="Arial" w:cs="Arial"/>
          <w:sz w:val="23"/>
          <w:szCs w:val="23"/>
          <w:highlight w:val="yellow"/>
        </w:rPr>
        <w:t>……………………….</w:t>
      </w:r>
    </w:p>
    <w:p w14:paraId="0000000F" w14:textId="77777777" w:rsidR="00BF40EB" w:rsidRDefault="0017620D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číslo bankovního účtu: </w:t>
      </w:r>
      <w:r>
        <w:rPr>
          <w:rFonts w:ascii="Arial" w:eastAsia="Arial" w:hAnsi="Arial" w:cs="Arial"/>
          <w:sz w:val="23"/>
          <w:szCs w:val="23"/>
          <w:highlight w:val="yellow"/>
        </w:rPr>
        <w:t>………………………….</w:t>
      </w:r>
    </w:p>
    <w:p w14:paraId="00000010" w14:textId="77777777" w:rsidR="00BF40EB" w:rsidRDefault="00BF40EB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</w:p>
    <w:p w14:paraId="00000011" w14:textId="77777777" w:rsidR="00BF40EB" w:rsidRDefault="0017620D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jako prodávající, dále jen „</w:t>
      </w:r>
      <w:r>
        <w:rPr>
          <w:rFonts w:ascii="Arial" w:eastAsia="Arial" w:hAnsi="Arial" w:cs="Arial"/>
          <w:b/>
          <w:sz w:val="23"/>
          <w:szCs w:val="23"/>
        </w:rPr>
        <w:t>Prodávající</w:t>
      </w:r>
      <w:r>
        <w:rPr>
          <w:rFonts w:ascii="Arial" w:eastAsia="Arial" w:hAnsi="Arial" w:cs="Arial"/>
          <w:sz w:val="23"/>
          <w:szCs w:val="23"/>
        </w:rPr>
        <w:t>“, na straně jedné</w:t>
      </w:r>
    </w:p>
    <w:p w14:paraId="00000012" w14:textId="77777777" w:rsidR="00BF40EB" w:rsidRDefault="00BF40EB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</w:p>
    <w:p w14:paraId="00000013" w14:textId="77777777" w:rsidR="00BF40EB" w:rsidRDefault="0017620D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</w:p>
    <w:p w14:paraId="00000014" w14:textId="77777777" w:rsidR="00BF40EB" w:rsidRDefault="00BF40EB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</w:p>
    <w:p w14:paraId="00000015" w14:textId="77777777" w:rsidR="00BF40EB" w:rsidRDefault="0017620D">
      <w:pPr>
        <w:spacing w:after="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Gymnázium Mikuláše Koperníka, Bílovec, příspěvková organizace</w:t>
      </w:r>
    </w:p>
    <w:p w14:paraId="00000016" w14:textId="77777777" w:rsidR="00BF40EB" w:rsidRDefault="0017620D">
      <w:pPr>
        <w:spacing w:after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IČO: 00601667</w:t>
      </w:r>
    </w:p>
    <w:p w14:paraId="00000017" w14:textId="77777777" w:rsidR="00BF40EB" w:rsidRDefault="0017620D">
      <w:pPr>
        <w:spacing w:after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DIČ: CZ 00601667</w:t>
      </w:r>
    </w:p>
    <w:p w14:paraId="00000018" w14:textId="77777777" w:rsidR="00BF40EB" w:rsidRDefault="0017620D">
      <w:pPr>
        <w:spacing w:after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se sídlem: 17. listopadu 526/18, 743 01 Bílovec</w:t>
      </w:r>
    </w:p>
    <w:p w14:paraId="00000019" w14:textId="77777777" w:rsidR="00BF40EB" w:rsidRDefault="0017620D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zastoupena: Mgr. Pavlem Mrvou, ředitelem</w:t>
      </w:r>
    </w:p>
    <w:p w14:paraId="0000001A" w14:textId="77777777" w:rsidR="00BF40EB" w:rsidRDefault="0017620D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bankovní spojení: Komerční banka a.s.</w:t>
      </w:r>
    </w:p>
    <w:p w14:paraId="0000001B" w14:textId="77777777" w:rsidR="00BF40EB" w:rsidRDefault="0017620D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číslo bankovního účtu: 3000436801/0100</w:t>
      </w:r>
    </w:p>
    <w:p w14:paraId="0000001C" w14:textId="77777777" w:rsidR="00BF40EB" w:rsidRDefault="00BF40EB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</w:p>
    <w:p w14:paraId="0000001D" w14:textId="77777777" w:rsidR="00BF40EB" w:rsidRDefault="00BF40EB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</w:p>
    <w:p w14:paraId="0000001E" w14:textId="77777777" w:rsidR="00BF40EB" w:rsidRDefault="0017620D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jako kupující, dále jen „</w:t>
      </w:r>
      <w:r>
        <w:rPr>
          <w:rFonts w:ascii="Arial" w:eastAsia="Arial" w:hAnsi="Arial" w:cs="Arial"/>
          <w:b/>
          <w:sz w:val="23"/>
          <w:szCs w:val="23"/>
        </w:rPr>
        <w:t>Kupující</w:t>
      </w:r>
      <w:r>
        <w:rPr>
          <w:rFonts w:ascii="Arial" w:eastAsia="Arial" w:hAnsi="Arial" w:cs="Arial"/>
          <w:sz w:val="23"/>
          <w:szCs w:val="23"/>
        </w:rPr>
        <w:t>“, na straně druhé,</w:t>
      </w:r>
    </w:p>
    <w:p w14:paraId="0000001F" w14:textId="77777777" w:rsidR="00BF40EB" w:rsidRDefault="00BF40EB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</w:p>
    <w:p w14:paraId="00000020" w14:textId="77777777" w:rsidR="00BF40EB" w:rsidRDefault="0017620D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v následujícím znění:</w:t>
      </w:r>
    </w:p>
    <w:p w14:paraId="00000021" w14:textId="77777777" w:rsidR="00BF40EB" w:rsidRDefault="00BF40EB">
      <w:pPr>
        <w:spacing w:after="60" w:line="240" w:lineRule="auto"/>
        <w:rPr>
          <w:rFonts w:ascii="Arial" w:eastAsia="Arial" w:hAnsi="Arial" w:cs="Arial"/>
          <w:sz w:val="23"/>
          <w:szCs w:val="23"/>
        </w:rPr>
      </w:pPr>
    </w:p>
    <w:p w14:paraId="00000022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I.</w:t>
      </w:r>
    </w:p>
    <w:p w14:paraId="00000023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Předmět smlouvy</w:t>
      </w:r>
    </w:p>
    <w:p w14:paraId="00000024" w14:textId="77777777" w:rsidR="00BF40EB" w:rsidRDefault="00BF40EB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</w:p>
    <w:p w14:paraId="00000025" w14:textId="77777777" w:rsidR="00BF40EB" w:rsidRDefault="001762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Předmětem této smlouvy je sjednání závazku Prodávajícího dodat Kupujícímu řádně a včas dále specifikované zboží, a to </w:t>
      </w:r>
      <w:r>
        <w:rPr>
          <w:rFonts w:ascii="Arial" w:eastAsia="Arial" w:hAnsi="Arial" w:cs="Arial"/>
          <w:color w:val="000000"/>
          <w:sz w:val="23"/>
          <w:szCs w:val="23"/>
        </w:rPr>
        <w:t>za podmínek sjednaných dále v této smlouvě, sjednání závazku Prodávajícího převést na Kupujícího vlastnické právo ke zboží a dále sjednání závazku Kupujícího řádně a včas dodané zboží převzít a zaplatit za něj Prodávajícímu sjednanou kupní cenu.</w:t>
      </w:r>
    </w:p>
    <w:p w14:paraId="00000026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14:paraId="00000027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14:paraId="00000028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14:paraId="00000029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II.</w:t>
      </w:r>
    </w:p>
    <w:p w14:paraId="0000002A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Zboží</w:t>
      </w:r>
    </w:p>
    <w:p w14:paraId="0000002B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2C" w14:textId="77777777" w:rsidR="00BF40EB" w:rsidRDefault="001762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Prodávající se zavazuje dodat Kupujícímu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zboží</w:t>
      </w:r>
      <w:r>
        <w:rPr>
          <w:rFonts w:ascii="Arial" w:eastAsia="Arial" w:hAnsi="Arial" w:cs="Arial"/>
          <w:color w:val="000000"/>
          <w:sz w:val="23"/>
          <w:szCs w:val="23"/>
        </w:rPr>
        <w:t>,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jehož přesný rozpis je v </w:t>
      </w:r>
      <w:sdt>
        <w:sdtPr>
          <w:tag w:val="goog_rdk_0"/>
          <w:id w:val="-275174326"/>
        </w:sdtPr>
        <w:sdtEndPr/>
        <w:sdtContent>
          <w:commentRangeStart w:id="0"/>
        </w:sdtContent>
      </w:sdt>
      <w:r>
        <w:rPr>
          <w:rFonts w:ascii="Arial" w:eastAsia="Arial" w:hAnsi="Arial" w:cs="Arial"/>
          <w:color w:val="000000"/>
          <w:sz w:val="23"/>
          <w:szCs w:val="23"/>
          <w:highlight w:val="cyan"/>
          <w:u w:val="single"/>
        </w:rPr>
        <w:t>příloze č. 1</w:t>
      </w:r>
      <w:commentRangeEnd w:id="0"/>
      <w:r>
        <w:commentReference w:id="0"/>
      </w:r>
      <w:r>
        <w:rPr>
          <w:rFonts w:ascii="Arial" w:eastAsia="Arial" w:hAnsi="Arial" w:cs="Arial"/>
          <w:color w:val="000000"/>
          <w:sz w:val="23"/>
          <w:szCs w:val="23"/>
        </w:rPr>
        <w:t xml:space="preserve"> této smlouvy, tvořící nedílnou součást této smlouvy, dále jen „</w:t>
      </w:r>
      <w:r>
        <w:rPr>
          <w:rFonts w:ascii="Arial" w:eastAsia="Arial" w:hAnsi="Arial" w:cs="Arial"/>
          <w:b/>
          <w:color w:val="000000"/>
          <w:sz w:val="23"/>
          <w:szCs w:val="23"/>
        </w:rPr>
        <w:t>Zboží</w:t>
      </w:r>
      <w:r>
        <w:rPr>
          <w:rFonts w:ascii="Arial" w:eastAsia="Arial" w:hAnsi="Arial" w:cs="Arial"/>
          <w:color w:val="000000"/>
          <w:sz w:val="23"/>
          <w:szCs w:val="23"/>
        </w:rPr>
        <w:t>“.</w:t>
      </w:r>
    </w:p>
    <w:p w14:paraId="0000002D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2E" w14:textId="77777777" w:rsidR="00BF40EB" w:rsidRDefault="001762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Prodávající prohlašuje, že v době dodání Zboží bude oprávněn jako výlučný vlastník volně disponovat se Zbožím, a zavazuje se, že v době dodání Zboží převede na Kupujícího své vlastnické právo ke Zboží.</w:t>
      </w:r>
    </w:p>
    <w:p w14:paraId="0000002F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30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31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III.</w:t>
      </w:r>
    </w:p>
    <w:p w14:paraId="00000032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Dodání zboží</w:t>
      </w:r>
    </w:p>
    <w:p w14:paraId="00000033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34" w14:textId="77777777" w:rsidR="00BF40EB" w:rsidRDefault="001762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Prodávající se zavazuje dodat Zboží a veškeré doklady, které se ke Zboží vztahují Kupujícímu do 31. 1. 2024, </w:t>
      </w:r>
      <w:r>
        <w:rPr>
          <w:rFonts w:ascii="Arial" w:eastAsia="Arial" w:hAnsi="Arial" w:cs="Arial"/>
          <w:sz w:val="23"/>
          <w:szCs w:val="23"/>
        </w:rPr>
        <w:t>nebo po dohodě s Kupujícím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. Fakturace do </w:t>
      </w:r>
      <w:r>
        <w:rPr>
          <w:rFonts w:ascii="Arial" w:eastAsia="Arial" w:hAnsi="Arial" w:cs="Arial"/>
          <w:b/>
          <w:color w:val="000000"/>
          <w:sz w:val="23"/>
          <w:szCs w:val="23"/>
        </w:rPr>
        <w:t>31. 12. 2023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s 30denní splatností</w:t>
      </w:r>
      <w:r>
        <w:rPr>
          <w:rFonts w:ascii="Arial" w:eastAsia="Arial" w:hAnsi="Arial" w:cs="Arial"/>
          <w:sz w:val="23"/>
          <w:szCs w:val="23"/>
        </w:rPr>
        <w:t>, nebo do termínu předpokládaného dodání Zboží.</w:t>
      </w:r>
    </w:p>
    <w:p w14:paraId="00000035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36" w14:textId="77777777" w:rsidR="00BF40EB" w:rsidRDefault="001762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Místem dodání Zboží je sídlo kupujícího.</w:t>
      </w:r>
    </w:p>
    <w:p w14:paraId="00000037" w14:textId="77777777" w:rsidR="00BF40EB" w:rsidRDefault="0017620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  <w:t xml:space="preserve">    </w:t>
      </w:r>
      <w:r>
        <w:rPr>
          <w:rFonts w:ascii="Arial" w:eastAsia="Arial" w:hAnsi="Arial" w:cs="Arial"/>
          <w:color w:val="000000"/>
          <w:sz w:val="23"/>
          <w:szCs w:val="23"/>
        </w:rPr>
        <w:tab/>
      </w:r>
    </w:p>
    <w:p w14:paraId="00000038" w14:textId="77777777" w:rsidR="00BF40EB" w:rsidRDefault="0017620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  <w:t xml:space="preserve">     </w:t>
      </w:r>
    </w:p>
    <w:p w14:paraId="00000039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3A" w14:textId="77777777" w:rsidR="00BF40EB" w:rsidRDefault="001762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Zástupci Prodávajícího a Kupujícího sepíší a podepíší při dodání předávací protokol Prodávající i Kupující jsou oprávněni v předávacím protokolu uvést jakékoliv záznamy, připomínky či výhrady; tyto se však nepovažují za změnu této smlouvy či dodatek k této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smlouvě. Neuvedení jakýchkoliv (i zjevných) vad do předávacího protokolu neomezuje Kupujícího v právu oznamovat zjištěné vady Prodávajícímu i po dodání Zboží v průběhu záruční doby. </w:t>
      </w:r>
    </w:p>
    <w:p w14:paraId="0000003B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3C" w14:textId="77777777" w:rsidR="00BF40EB" w:rsidRDefault="001762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Okamžikem předání a převzetí Zboží na základě předávacího protokolu nab</w:t>
      </w:r>
      <w:r>
        <w:rPr>
          <w:rFonts w:ascii="Arial" w:eastAsia="Arial" w:hAnsi="Arial" w:cs="Arial"/>
          <w:color w:val="000000"/>
          <w:sz w:val="23"/>
          <w:szCs w:val="23"/>
        </w:rPr>
        <w:t>ývá Kupující vlastnické právo ke Zboží a přechází na Kupujícího nebezpečí škody na Zboží.</w:t>
      </w:r>
    </w:p>
    <w:p w14:paraId="0000003D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3E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3F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IV.</w:t>
      </w:r>
    </w:p>
    <w:p w14:paraId="00000040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Kupní cena a platební podmínky</w:t>
      </w:r>
    </w:p>
    <w:p w14:paraId="00000041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42" w14:textId="77777777" w:rsidR="00BF40EB" w:rsidRDefault="001762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Kupní cena se sjednává jako cena pevná a konečná za veškerá plnění poskytovaná Prodávajícím Kupujícímu na základě této smlouvy a činí:</w:t>
      </w:r>
    </w:p>
    <w:p w14:paraId="00000043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44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a"/>
        <w:tblW w:w="8222" w:type="dxa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5245"/>
      </w:tblGrid>
      <w:tr w:rsidR="00BF40EB" w14:paraId="1B70A45A" w14:textId="77777777">
        <w:tc>
          <w:tcPr>
            <w:tcW w:w="2977" w:type="dxa"/>
            <w:shd w:val="clear" w:color="auto" w:fill="auto"/>
          </w:tcPr>
          <w:p w14:paraId="00000045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  <w:p w14:paraId="00000046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00000047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………. Kč</w:t>
            </w:r>
          </w:p>
        </w:tc>
      </w:tr>
      <w:tr w:rsidR="00BF40EB" w14:paraId="4B5DCF56" w14:textId="77777777">
        <w:tc>
          <w:tcPr>
            <w:tcW w:w="2977" w:type="dxa"/>
            <w:shd w:val="clear" w:color="auto" w:fill="auto"/>
          </w:tcPr>
          <w:p w14:paraId="00000048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  <w:p w14:paraId="00000049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DPH 21 % k ceně Zboží</w:t>
            </w:r>
          </w:p>
        </w:tc>
        <w:tc>
          <w:tcPr>
            <w:tcW w:w="5245" w:type="dxa"/>
            <w:shd w:val="clear" w:color="auto" w:fill="auto"/>
          </w:tcPr>
          <w:p w14:paraId="0000004A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  <w:p w14:paraId="0000004B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………. Kč</w:t>
            </w:r>
          </w:p>
        </w:tc>
      </w:tr>
      <w:tr w:rsidR="00BF40EB" w14:paraId="68E7EA62" w14:textId="77777777">
        <w:tc>
          <w:tcPr>
            <w:tcW w:w="2977" w:type="dxa"/>
            <w:shd w:val="clear" w:color="auto" w:fill="auto"/>
          </w:tcPr>
          <w:p w14:paraId="0000004C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  <w:p w14:paraId="0000004D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0000004E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  <w:p w14:paraId="0000004F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………. Kč</w:t>
            </w:r>
          </w:p>
          <w:p w14:paraId="00000050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(slovy: ……… korun českých)</w:t>
            </w:r>
          </w:p>
        </w:tc>
      </w:tr>
    </w:tbl>
    <w:p w14:paraId="00000051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52" w14:textId="77777777" w:rsidR="00BF40EB" w:rsidRDefault="001762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lastRenderedPageBreak/>
        <w:t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nu pro Kupujícího výhodnější. </w:t>
      </w:r>
    </w:p>
    <w:p w14:paraId="00000053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54" w14:textId="77777777" w:rsidR="00BF40EB" w:rsidRDefault="001762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Změna kupní ceny je výhradně podmíněna změnou právních předpisů vztahujících se k předmětu této smlouvy</w:t>
      </w:r>
    </w:p>
    <w:p w14:paraId="00000055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56" w14:textId="77777777" w:rsidR="00BF40EB" w:rsidRDefault="001762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Fakturace proběhne po kompletní dodávce</w:t>
      </w:r>
    </w:p>
    <w:p w14:paraId="00000057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58" w14:textId="77777777" w:rsidR="00BF40EB" w:rsidRDefault="001762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Fakturu - daňový doklad vystaví prodávající po splnění dodávky a předání předmětu plnění kupujícímu. Splatnost faktury je 14 dnů od data vystavení faktury. Datum uskutečnění zdanitelného plnění bude shodné s datem předání předmětu plnění kupujícímu,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t.j. d</w:t>
      </w:r>
      <w:r>
        <w:rPr>
          <w:rFonts w:ascii="Arial" w:eastAsia="Arial" w:hAnsi="Arial" w:cs="Arial"/>
          <w:color w:val="000000"/>
          <w:sz w:val="23"/>
          <w:szCs w:val="23"/>
        </w:rPr>
        <w:t>atem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podpisu předávacího protokolu. </w:t>
      </w:r>
    </w:p>
    <w:p w14:paraId="00000059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5A" w14:textId="77777777" w:rsidR="00BF40EB" w:rsidRDefault="001762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na ní být uvedena sjednaná kupní cena a datum splatnosti v souladu se smlouvou, jinak je Kupující oprávněn vrátit fakturu Prodávajícímu k přepracování či doplnění. V takovém případě běží nová lhůta splatnosti ode dne doručení opravené faktury Kupujícímu.</w:t>
      </w:r>
    </w:p>
    <w:p w14:paraId="0000005B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5C" w14:textId="77777777" w:rsidR="00BF40EB" w:rsidRDefault="0017620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0000005D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5E" w14:textId="77777777" w:rsidR="00BF40EB" w:rsidRDefault="001762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Úhrada kupní ceny bude provedena bezhotovostním převodem z bankovních účtů Kupujícího na bankovní účet Prodávajícího. Dnem úhrady se rozumí den odepsání příslušné částky z účtu Kupujícího.</w:t>
      </w:r>
    </w:p>
    <w:p w14:paraId="0000005F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60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61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V.</w:t>
      </w:r>
    </w:p>
    <w:p w14:paraId="00000062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Kvalita zboží a odpovědnost za vady</w:t>
      </w:r>
    </w:p>
    <w:p w14:paraId="00000063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64" w14:textId="77777777" w:rsidR="00BF40EB" w:rsidRDefault="00176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00000065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66" w14:textId="77777777" w:rsidR="00BF40EB" w:rsidRDefault="00176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Prodávající se z</w:t>
      </w:r>
      <w:r>
        <w:rPr>
          <w:rFonts w:ascii="Arial" w:eastAsia="Arial" w:hAnsi="Arial" w:cs="Arial"/>
          <w:color w:val="000000"/>
          <w:sz w:val="23"/>
          <w:szCs w:val="23"/>
        </w:rPr>
        <w:t>avazuje, že v okamžiku převodu vlastnického práva ke Zboží nebudou na Zboží váznout žádná práva třetích osob, a to zejména žádné předkupní právo, zástavní právo nebo právo nájmu.</w:t>
      </w:r>
    </w:p>
    <w:p w14:paraId="00000067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68" w14:textId="77777777" w:rsidR="00BF40EB" w:rsidRDefault="00176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Prodávající tedy poskytuje Kupujícímu záruku za dodané Zboží v </w:t>
      </w:r>
      <w:r w:rsidRPr="00635383">
        <w:rPr>
          <w:rFonts w:ascii="Arial" w:eastAsia="Arial" w:hAnsi="Arial" w:cs="Arial"/>
          <w:color w:val="000000"/>
          <w:sz w:val="23"/>
          <w:szCs w:val="23"/>
        </w:rPr>
        <w:t xml:space="preserve">délce </w:t>
      </w:r>
      <w:r w:rsidRPr="00635383">
        <w:rPr>
          <w:rFonts w:ascii="Arial" w:eastAsia="Arial" w:hAnsi="Arial" w:cs="Arial"/>
          <w:color w:val="000000"/>
          <w:sz w:val="23"/>
          <w:szCs w:val="23"/>
        </w:rPr>
        <w:t>60</w:t>
      </w:r>
      <w:r w:rsidRPr="00635383">
        <w:rPr>
          <w:rFonts w:ascii="Arial" w:eastAsia="Arial" w:hAnsi="Arial" w:cs="Arial"/>
          <w:color w:val="000000"/>
          <w:sz w:val="23"/>
          <w:szCs w:val="23"/>
        </w:rPr>
        <w:t xml:space="preserve"> měsí</w:t>
      </w:r>
      <w:r w:rsidRPr="00635383">
        <w:rPr>
          <w:rFonts w:ascii="Arial" w:eastAsia="Arial" w:hAnsi="Arial" w:cs="Arial"/>
          <w:color w:val="000000"/>
          <w:sz w:val="23"/>
          <w:szCs w:val="23"/>
        </w:rPr>
        <w:t>ců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ode dne dodání Zboží.</w:t>
      </w:r>
      <w:bookmarkStart w:id="1" w:name="_GoBack"/>
      <w:bookmarkEnd w:id="1"/>
    </w:p>
    <w:p w14:paraId="00000069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6A" w14:textId="77777777" w:rsidR="00BF40EB" w:rsidRPr="00635383" w:rsidRDefault="00176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635383">
        <w:rPr>
          <w:rFonts w:ascii="Arial" w:eastAsia="Arial" w:hAnsi="Arial" w:cs="Arial"/>
          <w:color w:val="000000"/>
          <w:sz w:val="23"/>
          <w:szCs w:val="23"/>
        </w:rPr>
        <w:t>Prodávající se zavazuje zahájit práce na odstranění eventuálních vad Zboží v době trvání záruky do druhého pracovního dne</w:t>
      </w:r>
      <w:r w:rsidRPr="00635383">
        <w:rPr>
          <w:rFonts w:ascii="Arial" w:eastAsia="Arial" w:hAnsi="Arial" w:cs="Arial"/>
          <w:color w:val="FF0000"/>
          <w:sz w:val="23"/>
          <w:szCs w:val="23"/>
        </w:rPr>
        <w:t xml:space="preserve"> </w:t>
      </w:r>
      <w:r w:rsidRPr="00635383">
        <w:rPr>
          <w:rFonts w:ascii="Arial" w:eastAsia="Arial" w:hAnsi="Arial" w:cs="Arial"/>
          <w:color w:val="000000"/>
          <w:sz w:val="23"/>
          <w:szCs w:val="23"/>
        </w:rPr>
        <w:t xml:space="preserve">od jejich oznámení Prodávajícímu. </w:t>
      </w:r>
      <w:r w:rsidRPr="00635383">
        <w:rPr>
          <w:rFonts w:ascii="Arial" w:eastAsia="Arial" w:hAnsi="Arial" w:cs="Arial"/>
          <w:sz w:val="23"/>
          <w:szCs w:val="23"/>
        </w:rPr>
        <w:t>V</w:t>
      </w:r>
      <w:r w:rsidRPr="00635383">
        <w:rPr>
          <w:rFonts w:ascii="Arial" w:eastAsia="Arial" w:hAnsi="Arial" w:cs="Arial"/>
          <w:color w:val="000000"/>
          <w:sz w:val="23"/>
          <w:szCs w:val="23"/>
        </w:rPr>
        <w:t xml:space="preserve">e lhůtě do </w:t>
      </w:r>
      <w:r w:rsidRPr="00635383">
        <w:rPr>
          <w:rFonts w:ascii="Arial" w:eastAsia="Arial" w:hAnsi="Arial" w:cs="Arial"/>
          <w:sz w:val="23"/>
          <w:szCs w:val="23"/>
        </w:rPr>
        <w:t>3</w:t>
      </w:r>
      <w:r w:rsidRPr="00635383">
        <w:rPr>
          <w:rFonts w:ascii="Arial" w:eastAsia="Arial" w:hAnsi="Arial" w:cs="Arial"/>
          <w:color w:val="000000"/>
          <w:sz w:val="23"/>
          <w:szCs w:val="23"/>
        </w:rPr>
        <w:t>0 dnů od jejich oznámení uvést Zboží opět do bezvadného stavu</w:t>
      </w:r>
      <w:r w:rsidRPr="00635383">
        <w:rPr>
          <w:rFonts w:ascii="Arial" w:eastAsia="Arial" w:hAnsi="Arial" w:cs="Arial"/>
          <w:color w:val="000000"/>
          <w:sz w:val="23"/>
          <w:szCs w:val="23"/>
        </w:rPr>
        <w:t xml:space="preserve">, v případě, že </w:t>
      </w:r>
      <w:r w:rsidRPr="00635383">
        <w:rPr>
          <w:rFonts w:ascii="Arial" w:eastAsia="Arial" w:hAnsi="Arial" w:cs="Arial"/>
          <w:sz w:val="23"/>
          <w:szCs w:val="23"/>
        </w:rPr>
        <w:t>nebude oprava možná v této lhůtě, bude Zboží vyměněno za nové, nebo vystaven dobropis v plné výši pořizovací ceny.</w:t>
      </w:r>
      <w:r w:rsidRPr="00635383">
        <w:rPr>
          <w:rFonts w:ascii="Arial" w:eastAsia="Arial" w:hAnsi="Arial" w:cs="Arial"/>
          <w:color w:val="000000"/>
          <w:sz w:val="23"/>
          <w:szCs w:val="23"/>
        </w:rPr>
        <w:t xml:space="preserve"> Veškeré náklady s tímto </w:t>
      </w:r>
      <w:r w:rsidRPr="00635383">
        <w:rPr>
          <w:rFonts w:ascii="Arial" w:eastAsia="Arial" w:hAnsi="Arial" w:cs="Arial"/>
          <w:color w:val="000000"/>
          <w:sz w:val="23"/>
          <w:szCs w:val="23"/>
        </w:rPr>
        <w:lastRenderedPageBreak/>
        <w:t>spojené (doprava, práce technika, náhradní díly, materiál, aj.) je v plné režii dodavatele či výrobce</w:t>
      </w:r>
      <w:r w:rsidRPr="00635383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Pr="00635383">
        <w:rPr>
          <w:rFonts w:ascii="Arial" w:eastAsia="Arial" w:hAnsi="Arial" w:cs="Arial"/>
          <w:sz w:val="23"/>
          <w:szCs w:val="23"/>
        </w:rPr>
        <w:t>Zboží</w:t>
      </w:r>
      <w:r w:rsidRPr="00635383">
        <w:rPr>
          <w:rFonts w:ascii="Arial" w:eastAsia="Arial" w:hAnsi="Arial" w:cs="Arial"/>
          <w:color w:val="000000"/>
          <w:sz w:val="23"/>
          <w:szCs w:val="23"/>
        </w:rPr>
        <w:t>. Podpor</w:t>
      </w:r>
      <w:r w:rsidRPr="00635383">
        <w:rPr>
          <w:rFonts w:ascii="Arial" w:eastAsia="Arial" w:hAnsi="Arial" w:cs="Arial"/>
          <w:sz w:val="23"/>
          <w:szCs w:val="23"/>
        </w:rPr>
        <w:t>u a záruku ze strany výrobce Zboží</w:t>
      </w:r>
      <w:r w:rsidRPr="00635383">
        <w:rPr>
          <w:rFonts w:ascii="Arial" w:eastAsia="Arial" w:hAnsi="Arial" w:cs="Arial"/>
          <w:color w:val="000000"/>
          <w:sz w:val="23"/>
          <w:szCs w:val="23"/>
        </w:rPr>
        <w:t xml:space="preserve"> dodavatel toto prokáže při jeho dodání (např. uvedením sériového čísla s možností ověření u výrobce)</w:t>
      </w:r>
      <w:r w:rsidRPr="00635383">
        <w:rPr>
          <w:rFonts w:ascii="Arial" w:eastAsia="Arial" w:hAnsi="Arial" w:cs="Arial"/>
          <w:color w:val="000000"/>
          <w:sz w:val="23"/>
          <w:szCs w:val="23"/>
        </w:rPr>
        <w:t>.</w:t>
      </w:r>
    </w:p>
    <w:p w14:paraId="0000006B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3"/>
          <w:szCs w:val="23"/>
        </w:rPr>
      </w:pPr>
      <w:bookmarkStart w:id="2" w:name="_heading=h.gjdgxs" w:colFirst="0" w:colLast="0"/>
      <w:bookmarkEnd w:id="2"/>
    </w:p>
    <w:p w14:paraId="0000006C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  <w:highlight w:val="yellow"/>
        </w:rPr>
      </w:pPr>
    </w:p>
    <w:p w14:paraId="0000006D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VI.</w:t>
      </w:r>
    </w:p>
    <w:p w14:paraId="0000006E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Zveřejnění obsahu smlouvy, jiná ujednání</w:t>
      </w:r>
    </w:p>
    <w:p w14:paraId="0000006F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70" w14:textId="77777777" w:rsidR="00BF40EB" w:rsidRDefault="001762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Prodávající s ohledem na povinnosti Kupujícího vyplývající zejména ze zákona č. 340/2015 Sb., zákon o registru smluv ve znění pozdějších předpisů, souhlasí se zveřejněním veškerých informací týkajících se závazkového vztahu založeného mezi Prodávajícím a K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upujícím touto smlouvou, zejména vlastního obsahu této smlouvy. Zveřejnění provede Kupující. Ustanovení zákona č. 89/2012 Sb., občanský zákoník, v platném znění, o obchodním tajemství, se nepoužije. </w:t>
      </w:r>
    </w:p>
    <w:p w14:paraId="00000071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72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73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VII.</w:t>
      </w:r>
    </w:p>
    <w:p w14:paraId="00000074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Sankce a odstoupení od smlouvy</w:t>
      </w:r>
    </w:p>
    <w:p w14:paraId="00000075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76" w14:textId="77777777" w:rsidR="00BF40EB" w:rsidRDefault="001762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Prodávající se pro případ prodlení s dodáním Zboží řádně a včas zavazuje uhradit Kupujícímu smluvní pokutu ve výši 0,01% z celkové kupní ceny vč. DPH za každý den prodlení.</w:t>
      </w:r>
    </w:p>
    <w:p w14:paraId="00000077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78" w14:textId="77777777" w:rsidR="00BF40EB" w:rsidRDefault="001762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Kupující se v případě prodlení s úhradou kupní ceny zavazuje uhradit Prodávajícímu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úroky z prodlení ve výši stanovené platnými právními předpisy. </w:t>
      </w:r>
    </w:p>
    <w:p w14:paraId="00000079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7A" w14:textId="77777777" w:rsidR="00BF40EB" w:rsidRDefault="001762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left="709" w:hanging="709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Porušení povinnosti Prodávajícího dodat Zboží řádně a včas nebo povinnosti Prodávajícího zahájit práce na odstranění Kupujícím oznámených vad Zboží nebo povinnosti Prodávajícího uvést vadné </w:t>
      </w:r>
      <w:r>
        <w:rPr>
          <w:rFonts w:ascii="Arial" w:eastAsia="Arial" w:hAnsi="Arial" w:cs="Arial"/>
          <w:color w:val="000000"/>
          <w:sz w:val="23"/>
          <w:szCs w:val="23"/>
        </w:rPr>
        <w:t>Zboží opět do bezvadného stavu po dobu delší než třicet kalendářních dnů se považuje za podstatné porušení smlouvy, jež opravňuje Kupujícího k odstoupení od smlouvy.</w:t>
      </w:r>
    </w:p>
    <w:p w14:paraId="0000007B" w14:textId="77777777" w:rsidR="00BF40EB" w:rsidRDefault="00BF40EB">
      <w:pPr>
        <w:keepNext/>
        <w:jc w:val="center"/>
        <w:rPr>
          <w:rFonts w:ascii="Tahoma" w:eastAsia="Tahoma" w:hAnsi="Tahoma" w:cs="Tahoma"/>
          <w:b/>
        </w:rPr>
      </w:pPr>
    </w:p>
    <w:p w14:paraId="0000007C" w14:textId="77777777" w:rsidR="00BF40EB" w:rsidRDefault="0017620D">
      <w:pPr>
        <w:keepNext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VII.</w:t>
      </w:r>
    </w:p>
    <w:p w14:paraId="0000007D" w14:textId="77777777" w:rsidR="00BF40EB" w:rsidRDefault="0017620D">
      <w:pPr>
        <w:keepNext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Sankce vůči Rusku a Bělorusku</w:t>
      </w:r>
    </w:p>
    <w:p w14:paraId="0000007E" w14:textId="77777777" w:rsidR="00BF40EB" w:rsidRDefault="001762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 w:hanging="35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Příkazník odpovídá za to, že platby poskytované příkazcem dle této smlouvy nebudou přímo nebo nepřímo ani jen zčásti poskytnuty osobám, vůči kterým platí tzv. individuální finanční sankce ve smyslu čl. 2 odst. 2 Nařízení Rady (EU) č. 208/2014 ze dne 5. 3. </w:t>
      </w:r>
      <w:r>
        <w:rPr>
          <w:rFonts w:ascii="Tahoma" w:eastAsia="Tahoma" w:hAnsi="Tahoma" w:cs="Tahoma"/>
          <w:color w:val="000000"/>
        </w:rPr>
        <w:t>2014 o omezujících opatřeních vůči některým osobám, subjektům a orgánům vzhledem k situaci na Ukrajině a Nařízení Rady (ES) č. 765/2006 ze dne 18. 5. 2006 o omezujících opatřeních vůči prezidentu Lukašenkovi a některým představitelům Běloruska a které jsou</w:t>
      </w:r>
      <w:r>
        <w:rPr>
          <w:rFonts w:ascii="Tahoma" w:eastAsia="Tahoma" w:hAnsi="Tahoma" w:cs="Tahoma"/>
          <w:color w:val="000000"/>
        </w:rPr>
        <w:t xml:space="preserve"> uvedeny na tzv. sankčních seznamech  (dle příloh č. 1 obou nařízení); bude-li kterékoliv z nařízení v budoucnu nahrazeno jinou legislativou obdobného významu, uvedená povinnost se uplatní obdobně.</w:t>
      </w:r>
    </w:p>
    <w:p w14:paraId="0000007F" w14:textId="77777777" w:rsidR="00BF40EB" w:rsidRDefault="001762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 w:hanging="35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Příkazník je povinen příkazce bezodkladně informovat o jak</w:t>
      </w:r>
      <w:r>
        <w:rPr>
          <w:rFonts w:ascii="Tahoma" w:eastAsia="Tahoma" w:hAnsi="Tahoma" w:cs="Tahoma"/>
          <w:color w:val="000000"/>
        </w:rPr>
        <w:t xml:space="preserve">ýchkoliv skutečnostech, které mohou mít vliv na odpovědnost příkazníka dle odst. 1 tohoto článku smlouvy. Příkazník je </w:t>
      </w:r>
      <w:r>
        <w:rPr>
          <w:rFonts w:ascii="Tahoma" w:eastAsia="Tahoma" w:hAnsi="Tahoma" w:cs="Tahoma"/>
          <w:color w:val="000000"/>
        </w:rPr>
        <w:lastRenderedPageBreak/>
        <w:t>současně povinen kdykoliv poskytnout příkazci bezodkladnou součinnost pro případné ověření pravdivosti informací dle odst. 1 tohoto článk</w:t>
      </w:r>
      <w:r>
        <w:rPr>
          <w:rFonts w:ascii="Tahoma" w:eastAsia="Tahoma" w:hAnsi="Tahoma" w:cs="Tahoma"/>
          <w:color w:val="000000"/>
        </w:rPr>
        <w:t>u smlouvy.</w:t>
      </w:r>
    </w:p>
    <w:p w14:paraId="00000080" w14:textId="77777777" w:rsidR="00BF40EB" w:rsidRDefault="001762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 w:hanging="35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Dojde-li k porušení pravidel dle odst. 1 tohoto článku smlouvy, je příkazce oprávněn odstoupit od této smlouvy; odstoupení se však nedotýká povinností příkazníka vyplývajících z odpovědnosti za vady, povinnosti zaplatit smluvní pokutu, povinnost</w:t>
      </w:r>
      <w:r>
        <w:rPr>
          <w:rFonts w:ascii="Tahoma" w:eastAsia="Tahoma" w:hAnsi="Tahoma" w:cs="Tahoma"/>
          <w:color w:val="000000"/>
        </w:rPr>
        <w:t>i nahradit škodu a povinnosti zachovat důvěrnost informací souvisejících s plněním dle této smlouvy.</w:t>
      </w:r>
    </w:p>
    <w:p w14:paraId="00000081" w14:textId="77777777" w:rsidR="00BF40EB" w:rsidRDefault="001762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 w:hanging="35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Dojde-li k porušení pravidel dle odst. 1 tohoto článku smlouvy, je příkazník povinen zaplatit příkazci smluvní pokutu ve výši 50.000 Kč, a to za každý jedn</w:t>
      </w:r>
      <w:r>
        <w:rPr>
          <w:rFonts w:ascii="Tahoma" w:eastAsia="Tahoma" w:hAnsi="Tahoma" w:cs="Tahoma"/>
          <w:color w:val="000000"/>
        </w:rPr>
        <w:t>otlivý případ porušení.</w:t>
      </w:r>
    </w:p>
    <w:p w14:paraId="00000082" w14:textId="77777777" w:rsidR="00BF40EB" w:rsidRDefault="00BF40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113"/>
        <w:ind w:left="709" w:hanging="709"/>
        <w:rPr>
          <w:rFonts w:ascii="Arial" w:eastAsia="Arial" w:hAnsi="Arial" w:cs="Arial"/>
          <w:color w:val="000000"/>
          <w:sz w:val="23"/>
          <w:szCs w:val="23"/>
        </w:rPr>
      </w:pPr>
    </w:p>
    <w:p w14:paraId="00000083" w14:textId="77777777" w:rsidR="00BF40EB" w:rsidRDefault="00BF40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113"/>
        <w:ind w:left="709" w:hanging="709"/>
        <w:rPr>
          <w:rFonts w:ascii="Arial" w:eastAsia="Arial" w:hAnsi="Arial" w:cs="Arial"/>
          <w:color w:val="000000"/>
          <w:sz w:val="23"/>
          <w:szCs w:val="23"/>
        </w:rPr>
      </w:pPr>
    </w:p>
    <w:p w14:paraId="00000084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IX.</w:t>
      </w:r>
    </w:p>
    <w:p w14:paraId="00000085" w14:textId="77777777" w:rsidR="00BF40EB" w:rsidRDefault="0017620D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Závěrečná ujednání</w:t>
      </w:r>
    </w:p>
    <w:p w14:paraId="00000086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87" w14:textId="77777777" w:rsidR="00BF40EB" w:rsidRDefault="001762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hanging="7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00000088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89" w14:textId="77777777" w:rsidR="00BF40EB" w:rsidRDefault="001762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hanging="7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Prodávající p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rohlašuje, že se nenachází v úpadku ve smyslu zákona </w:t>
      </w:r>
      <w:r>
        <w:rPr>
          <w:rFonts w:ascii="Arial" w:eastAsia="Arial" w:hAnsi="Arial" w:cs="Arial"/>
          <w:color w:val="000000"/>
          <w:sz w:val="23"/>
          <w:szCs w:val="23"/>
        </w:rPr>
        <w:br/>
        <w:t>č. 182/2006 Sb., o úpadku a způsobech jeho řešení (insolvenční zákon), ve znění pozdějších předpisů, zejména není předlužen a je schopen plnit své splatné závazky, přičemž jeho hospodářská situace nevyk</w:t>
      </w:r>
      <w:r>
        <w:rPr>
          <w:rFonts w:ascii="Arial" w:eastAsia="Arial" w:hAnsi="Arial" w:cs="Arial"/>
          <w:color w:val="000000"/>
          <w:sz w:val="23"/>
          <w:szCs w:val="23"/>
        </w:rPr>
        <w:t>azuje žádné známky hrozícího úpadku; na jeho majetek nebyl prohlášen konkurs ani mu nebyla povolena reorganizace ani vůči němu není vedeno insolvenční řízení.</w:t>
      </w:r>
    </w:p>
    <w:p w14:paraId="0000008A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8B" w14:textId="77777777" w:rsidR="00BF40EB" w:rsidRDefault="001762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hanging="7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ákona </w:t>
      </w:r>
      <w:r>
        <w:rPr>
          <w:rFonts w:ascii="Arial" w:eastAsia="Arial" w:hAnsi="Arial" w:cs="Arial"/>
          <w:color w:val="000000"/>
          <w:sz w:val="23"/>
          <w:szCs w:val="23"/>
        </w:rPr>
        <w:br/>
        <w:t xml:space="preserve">č. 500/2004 Sb., správního řádu, ve znění pozdějších předpisů, či podle zákona </w:t>
      </w:r>
      <w:r>
        <w:rPr>
          <w:rFonts w:ascii="Arial" w:eastAsia="Arial" w:hAnsi="Arial" w:cs="Arial"/>
          <w:color w:val="000000"/>
          <w:sz w:val="23"/>
          <w:szCs w:val="23"/>
        </w:rPr>
        <w:br/>
        <w:t>č. 280/2009 Sb., daňového řádu, ve znění pozdějších předpisů.</w:t>
      </w:r>
    </w:p>
    <w:p w14:paraId="0000008C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8D" w14:textId="77777777" w:rsidR="00BF40EB" w:rsidRDefault="001762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hanging="7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Jakékoliv změny či doplňky této smlouvy lze činit pouze formou písemných číslovaných dodatků podepsaných o</w:t>
      </w:r>
      <w:r>
        <w:rPr>
          <w:rFonts w:ascii="Arial" w:eastAsia="Arial" w:hAnsi="Arial" w:cs="Arial"/>
          <w:color w:val="000000"/>
          <w:sz w:val="23"/>
          <w:szCs w:val="23"/>
        </w:rPr>
        <w:t>běma smluvními stranami; odstoupení od smlouvy lze provést pouze písemnou formou.</w:t>
      </w:r>
    </w:p>
    <w:p w14:paraId="0000008E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8F" w14:textId="77777777" w:rsidR="00BF40EB" w:rsidRDefault="001762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hanging="7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Ve věcech touto smlouvou neupravených se tato smlouva řídí platnými právními předpisy ČR, zejména ustanoveními § 2079 a násl. zákona č. 89/2012 Sb., občanského zákoníku, v platném znění.</w:t>
      </w:r>
    </w:p>
    <w:p w14:paraId="00000090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91" w14:textId="77777777" w:rsidR="00BF40EB" w:rsidRDefault="001762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hanging="7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Tato smlouva je sepsána ve dvou vyhotoveních stejné platnosti a záva</w:t>
      </w:r>
      <w:r>
        <w:rPr>
          <w:rFonts w:ascii="Arial" w:eastAsia="Arial" w:hAnsi="Arial" w:cs="Arial"/>
          <w:color w:val="000000"/>
          <w:sz w:val="23"/>
          <w:szCs w:val="23"/>
        </w:rPr>
        <w:t>znosti, po jednom pro každou ze smluvních stran.</w:t>
      </w:r>
    </w:p>
    <w:p w14:paraId="00000092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93" w14:textId="77777777" w:rsidR="00BF40EB" w:rsidRDefault="001762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hanging="7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Tato smlouva je platná dnem podpisu oprávněných zástupců obou smluvních stran a nabývá účinnosti dnem jejího zveřejnění v registru smluv v souladu s § 6 zákona č.  340/2015 Sb., zákon o registru smluv ve zn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ění pozdějších předpisů. V případě, </w:t>
      </w:r>
      <w:r>
        <w:rPr>
          <w:rFonts w:ascii="Arial" w:eastAsia="Arial" w:hAnsi="Arial" w:cs="Arial"/>
          <w:color w:val="000000"/>
          <w:sz w:val="23"/>
          <w:szCs w:val="23"/>
        </w:rPr>
        <w:lastRenderedPageBreak/>
        <w:t>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00000094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95" w14:textId="77777777" w:rsidR="00BF40EB" w:rsidRDefault="001762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hanging="72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Smluvní strany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prohlašují, že se důkladně seznámily s obsahem této smlouvy, kterému zcela rozumí a plně vyjadřuje jejich svobodnou a vážnou vůli.</w:t>
      </w:r>
    </w:p>
    <w:p w14:paraId="00000096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3"/>
          <w:szCs w:val="23"/>
        </w:rPr>
      </w:pPr>
    </w:p>
    <w:p w14:paraId="00000097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3"/>
          <w:szCs w:val="23"/>
        </w:rPr>
      </w:pPr>
    </w:p>
    <w:p w14:paraId="00000098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3"/>
          <w:szCs w:val="23"/>
        </w:rPr>
      </w:pPr>
    </w:p>
    <w:p w14:paraId="00000099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3"/>
          <w:szCs w:val="23"/>
        </w:rPr>
      </w:pPr>
    </w:p>
    <w:p w14:paraId="0000009A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3"/>
          <w:szCs w:val="23"/>
        </w:rPr>
      </w:pPr>
    </w:p>
    <w:p w14:paraId="0000009B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a0"/>
        <w:tblW w:w="928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44"/>
        <w:gridCol w:w="4644"/>
      </w:tblGrid>
      <w:tr w:rsidR="00BF40EB" w14:paraId="2417B122" w14:textId="77777777">
        <w:tc>
          <w:tcPr>
            <w:tcW w:w="4644" w:type="dxa"/>
          </w:tcPr>
          <w:p w14:paraId="0000009C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PRODÁVAJÍCÍ:</w:t>
            </w:r>
          </w:p>
          <w:p w14:paraId="0000009D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14:paraId="0000009E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 …….. dne ……………….</w:t>
            </w:r>
          </w:p>
          <w:p w14:paraId="0000009F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14:paraId="000000A0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14:paraId="000000A1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14:paraId="000000A2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14:paraId="000000A3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__________________________</w:t>
            </w:r>
          </w:p>
          <w:p w14:paraId="000000A4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                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………………………..</w:t>
            </w:r>
          </w:p>
          <w:p w14:paraId="000000A5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                    …………………… </w:t>
            </w:r>
          </w:p>
          <w:p w14:paraId="000000A6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………….</w:t>
            </w:r>
          </w:p>
        </w:tc>
        <w:tc>
          <w:tcPr>
            <w:tcW w:w="4644" w:type="dxa"/>
          </w:tcPr>
          <w:p w14:paraId="000000A7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KUPUJÍCÍ:</w:t>
            </w:r>
          </w:p>
          <w:p w14:paraId="000000A8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14:paraId="000000A9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 Bílovci  dne …………………..</w:t>
            </w:r>
          </w:p>
          <w:p w14:paraId="000000AA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14:paraId="000000AB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14:paraId="000000AC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14:paraId="000000AD" w14:textId="77777777" w:rsidR="00BF40EB" w:rsidRDefault="00BF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14:paraId="000000AE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__________________________</w:t>
            </w:r>
          </w:p>
          <w:p w14:paraId="000000AF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Mgr. Pavel Mrva,</w:t>
            </w:r>
          </w:p>
          <w:p w14:paraId="000000B0" w14:textId="77777777" w:rsidR="00BF40EB" w:rsidRDefault="0017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ředitel</w:t>
            </w:r>
          </w:p>
        </w:tc>
      </w:tr>
    </w:tbl>
    <w:p w14:paraId="000000B1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B2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B3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B4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00000B5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B6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B7" w14:textId="77777777" w:rsidR="00BF40EB" w:rsidRDefault="00BF40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sectPr w:rsidR="00BF40E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sustek" w:date="2023-10-25T16:57:00Z" w:initials="">
    <w:p w14:paraId="000000BD" w14:textId="77777777" w:rsidR="00BF40EB" w:rsidRDefault="001762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= technická specifikace, nadepsat ji jako „Příloha č. 1“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B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08F8" w14:textId="77777777" w:rsidR="0017620D" w:rsidRDefault="0017620D">
      <w:pPr>
        <w:spacing w:after="0" w:line="240" w:lineRule="auto"/>
      </w:pPr>
      <w:r>
        <w:separator/>
      </w:r>
    </w:p>
  </w:endnote>
  <w:endnote w:type="continuationSeparator" w:id="0">
    <w:p w14:paraId="6136830C" w14:textId="77777777" w:rsidR="0017620D" w:rsidRDefault="0017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9" w14:textId="77777777" w:rsidR="00BF40EB" w:rsidRDefault="0017620D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„Nákup IT vybavení – 34 ks PC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all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>-in-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one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>“</w:t>
    </w:r>
  </w:p>
  <w:p w14:paraId="000000BA" w14:textId="77777777" w:rsidR="00BF40EB" w:rsidRDefault="00BF4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14:paraId="000000BB" w14:textId="3A65CA41" w:rsidR="00BF40EB" w:rsidRDefault="001762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strana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 w:rsidR="00635383"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635383">
      <w:rPr>
        <w:rFonts w:ascii="Arial" w:eastAsia="Arial" w:hAnsi="Arial" w:cs="Arial"/>
        <w:b/>
        <w:noProof/>
        <w:color w:val="000000"/>
        <w:sz w:val="20"/>
        <w:szCs w:val="20"/>
      </w:rPr>
      <w:t>6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ze</w:t>
    </w:r>
    <w:proofErr w:type="gramEnd"/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 w:rsidR="00635383"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635383">
      <w:rPr>
        <w:rFonts w:ascii="Arial" w:eastAsia="Arial" w:hAnsi="Arial" w:cs="Arial"/>
        <w:b/>
        <w:noProof/>
        <w:color w:val="000000"/>
        <w:sz w:val="20"/>
        <w:szCs w:val="20"/>
      </w:rPr>
      <w:t>6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000000BC" w14:textId="77777777" w:rsidR="00BF40EB" w:rsidRDefault="00BF4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68DAD" w14:textId="77777777" w:rsidR="0017620D" w:rsidRDefault="0017620D">
      <w:pPr>
        <w:spacing w:after="0" w:line="240" w:lineRule="auto"/>
      </w:pPr>
      <w:r>
        <w:separator/>
      </w:r>
    </w:p>
  </w:footnote>
  <w:footnote w:type="continuationSeparator" w:id="0">
    <w:p w14:paraId="0C0CCC64" w14:textId="77777777" w:rsidR="0017620D" w:rsidRDefault="0017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8" w14:textId="77777777" w:rsidR="00BF40EB" w:rsidRDefault="001762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VZ č. 19/2023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3D"/>
    <w:multiLevelType w:val="multilevel"/>
    <w:tmpl w:val="19063DDE"/>
    <w:lvl w:ilvl="0">
      <w:start w:val="1"/>
      <w:numFmt w:val="decimal"/>
      <w:lvlText w:val="I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DAB"/>
    <w:multiLevelType w:val="multilevel"/>
    <w:tmpl w:val="AA9E1224"/>
    <w:lvl w:ilvl="0">
      <w:start w:val="1"/>
      <w:numFmt w:val="decimal"/>
      <w:lvlText w:val="IV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38EA"/>
    <w:multiLevelType w:val="multilevel"/>
    <w:tmpl w:val="537048AC"/>
    <w:lvl w:ilvl="0">
      <w:start w:val="1"/>
      <w:numFmt w:val="decimal"/>
      <w:lvlText w:val="III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275A"/>
    <w:multiLevelType w:val="multilevel"/>
    <w:tmpl w:val="A0F082AC"/>
    <w:lvl w:ilvl="0">
      <w:start w:val="1"/>
      <w:numFmt w:val="decimal"/>
      <w:lvlText w:val="VI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91D78"/>
    <w:multiLevelType w:val="multilevel"/>
    <w:tmpl w:val="8612E08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55EC9"/>
    <w:multiLevelType w:val="multilevel"/>
    <w:tmpl w:val="1952C584"/>
    <w:lvl w:ilvl="0">
      <w:start w:val="1"/>
      <w:numFmt w:val="decimal"/>
      <w:lvlText w:val="VII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114D7"/>
    <w:multiLevelType w:val="multilevel"/>
    <w:tmpl w:val="6C14B152"/>
    <w:lvl w:ilvl="0">
      <w:start w:val="1"/>
      <w:numFmt w:val="decimal"/>
      <w:lvlText w:val="V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75661"/>
    <w:multiLevelType w:val="multilevel"/>
    <w:tmpl w:val="1DBC0108"/>
    <w:lvl w:ilvl="0">
      <w:start w:val="1"/>
      <w:numFmt w:val="decimal"/>
      <w:lvlText w:val="VIII.%1."/>
      <w:lvlJc w:val="left"/>
      <w:pPr>
        <w:ind w:left="720" w:hanging="360"/>
      </w:pPr>
      <w:rPr>
        <w:rFonts w:ascii="Arial" w:eastAsia="Arial" w:hAnsi="Arial" w:cs="Arial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617A6"/>
    <w:multiLevelType w:val="multilevel"/>
    <w:tmpl w:val="C6E6E2FA"/>
    <w:lvl w:ilvl="0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EB"/>
    <w:rsid w:val="0017620D"/>
    <w:rsid w:val="00635383"/>
    <w:rsid w:val="00B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7E3AA-3F34-44B4-8ED1-439E69F9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3F1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paragraph" w:customStyle="1" w:styleId="Smlouva-slo">
    <w:name w:val="Smlouva-číslo"/>
    <w:basedOn w:val="Normln"/>
    <w:rsid w:val="00D22109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lywu1fDD0oteZ/smX8OgYFo13g==">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Radek Hrad</dc:creator>
  <cp:lastModifiedBy>vsustek</cp:lastModifiedBy>
  <cp:revision>2</cp:revision>
  <dcterms:created xsi:type="dcterms:W3CDTF">2019-04-15T07:33:00Z</dcterms:created>
  <dcterms:modified xsi:type="dcterms:W3CDTF">2023-12-01T07:57:00Z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9eb9c99a-4a89-4dd1-affa-b8cfe1301d9b</vt:lpwstr>
  </property>
  <property fmtid="{D5CDD505-2E9C-101B-9397-08002B2CF9AE}" pid="3" name="ContentTypeId">
    <vt:lpwstr>0x0101005887FC8EC72951489490F9DE128B9AB3</vt:lpwstr>
  </property>
</Properties>
</file>