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506A5D">
        <w:rPr>
          <w:rFonts w:ascii="Arial" w:eastAsia="Times New Roman" w:hAnsi="Arial" w:cs="Arial"/>
          <w:sz w:val="23"/>
          <w:szCs w:val="23"/>
        </w:rPr>
        <w:t>e sídlem: m17. listopadu 526/18, 743 01 Bílovec</w:t>
      </w:r>
    </w:p>
    <w:p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506A5D">
        <w:rPr>
          <w:rFonts w:ascii="Arial" w:hAnsi="Arial" w:cs="Arial"/>
          <w:b/>
          <w:sz w:val="23"/>
          <w:szCs w:val="23"/>
        </w:rPr>
        <w:t>obnovu vybavení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DC4B2B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>ady, které se ke Zboží vztahují</w:t>
      </w:r>
      <w:r w:rsidR="009A3D16" w:rsidRPr="00EB723F">
        <w:rPr>
          <w:rFonts w:ascii="Arial" w:hAnsi="Arial" w:cs="Arial"/>
          <w:sz w:val="23"/>
          <w:szCs w:val="23"/>
        </w:rPr>
        <w:t xml:space="preserve"> </w:t>
      </w:r>
      <w:r w:rsidRPr="00EB723F">
        <w:rPr>
          <w:rFonts w:ascii="Arial" w:hAnsi="Arial" w:cs="Arial"/>
          <w:sz w:val="23"/>
          <w:szCs w:val="23"/>
        </w:rPr>
        <w:t>Kupujícímu</w:t>
      </w:r>
      <w:r w:rsidR="003F7B02" w:rsidRPr="00EB723F">
        <w:rPr>
          <w:rFonts w:ascii="Arial" w:hAnsi="Arial" w:cs="Arial"/>
          <w:sz w:val="23"/>
          <w:szCs w:val="23"/>
        </w:rPr>
        <w:t xml:space="preserve"> </w:t>
      </w:r>
      <w:r w:rsidR="0004416B">
        <w:rPr>
          <w:rFonts w:ascii="Arial" w:hAnsi="Arial" w:cs="Arial"/>
          <w:sz w:val="23"/>
          <w:szCs w:val="23"/>
        </w:rPr>
        <w:t>na výzvu objednatele.</w:t>
      </w: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</w:t>
      </w:r>
      <w:bookmarkStart w:id="0" w:name="_GoBack"/>
      <w:bookmarkEnd w:id="0"/>
      <w:r w:rsidRPr="008D17FE">
        <w:rPr>
          <w:rFonts w:ascii="Arial" w:hAnsi="Arial" w:cs="Arial"/>
          <w:sz w:val="23"/>
          <w:szCs w:val="23"/>
        </w:rPr>
        <w:t>cké právo ke Zboží a přechází na Kupujícího nebezpečí škody na Zboží.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 xml:space="preserve">Prodávající tedy poskytuje Kupujícímu záruku za dodaného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37" w:rsidRDefault="00680E37" w:rsidP="00FF18EB">
      <w:pPr>
        <w:spacing w:after="0" w:line="240" w:lineRule="auto"/>
      </w:pPr>
      <w:r>
        <w:separator/>
      </w:r>
    </w:p>
  </w:endnote>
  <w:endnote w:type="continuationSeparator" w:id="0">
    <w:p w:rsidR="00680E37" w:rsidRDefault="00680E37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7" w:rsidRDefault="00D22109">
    <w:pPr>
      <w:pStyle w:val="Zpat"/>
      <w:pBdr>
        <w:bottom w:val="single" w:sz="6" w:space="1" w:color="auto"/>
      </w:pBdr>
      <w:jc w:val="center"/>
    </w:pPr>
    <w:r>
      <w:t xml:space="preserve">„Rekonstrukce kabinetů – </w:t>
    </w:r>
    <w:r w:rsidR="0004416B">
      <w:t>2</w:t>
    </w:r>
    <w:r>
      <w:t>. etapa“</w:t>
    </w:r>
  </w:p>
  <w:p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04416B">
      <w:rPr>
        <w:rFonts w:ascii="Arial" w:hAnsi="Arial" w:cs="Arial"/>
        <w:b/>
        <w:bCs/>
        <w:noProof/>
        <w:sz w:val="20"/>
        <w:szCs w:val="20"/>
      </w:rPr>
      <w:t>5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04416B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37" w:rsidRDefault="00680E37" w:rsidP="00FF18EB">
      <w:pPr>
        <w:spacing w:after="0" w:line="240" w:lineRule="auto"/>
      </w:pPr>
      <w:r>
        <w:separator/>
      </w:r>
    </w:p>
  </w:footnote>
  <w:footnote w:type="continuationSeparator" w:id="0">
    <w:p w:rsidR="00680E37" w:rsidRDefault="00680E37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D" w:rsidRPr="00506A5D" w:rsidRDefault="00506A5D">
    <w:pPr>
      <w:pStyle w:val="Zhlav"/>
      <w:rPr>
        <w:lang w:val="en-US"/>
      </w:rPr>
    </w:pPr>
    <w:r>
      <w:rPr>
        <w:lang w:val="en-US"/>
      </w:rPr>
      <w:t>VZ č.</w:t>
    </w:r>
    <w:r w:rsidR="00B11045">
      <w:rPr>
        <w:lang w:val="en-US"/>
      </w:rPr>
      <w:t xml:space="preserve"> </w:t>
    </w:r>
    <w:r w:rsidR="0004416B">
      <w:rPr>
        <w:lang w:val="en-US"/>
      </w:rPr>
      <w:t>1</w:t>
    </w:r>
    <w:r w:rsidR="00B11045">
      <w:rPr>
        <w:lang w:val="en-US"/>
      </w:rPr>
      <w:t>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4416B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13B40"/>
    <w:rsid w:val="00124789"/>
    <w:rsid w:val="001333EC"/>
    <w:rsid w:val="001341A7"/>
    <w:rsid w:val="00134BC1"/>
    <w:rsid w:val="00142BD2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D6FF4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0E37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4E5D"/>
    <w:rsid w:val="0075205D"/>
    <w:rsid w:val="0075554C"/>
    <w:rsid w:val="00763FDA"/>
    <w:rsid w:val="00775695"/>
    <w:rsid w:val="00782A0F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ADC0A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Props1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1547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pmrva</cp:lastModifiedBy>
  <cp:revision>13</cp:revision>
  <cp:lastPrinted>2019-04-03T11:14:00Z</cp:lastPrinted>
  <dcterms:created xsi:type="dcterms:W3CDTF">2019-04-15T07:33:00Z</dcterms:created>
  <dcterms:modified xsi:type="dcterms:W3CDTF">2023-11-30T11:11:00Z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