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AE" w:rsidRDefault="00FC4952">
      <w:pPr>
        <w:pStyle w:val="Podnadpis"/>
        <w:spacing w:after="120"/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SMLOUVA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b w:val="0"/>
          <w:bCs/>
          <w:sz w:val="24"/>
          <w:szCs w:val="24"/>
        </w:rPr>
        <w:t>na zhotovení projektové statického posudku</w:t>
      </w:r>
    </w:p>
    <w:p w:rsidR="00FC43AE" w:rsidRDefault="00FC43AE">
      <w:pPr>
        <w:pStyle w:val="Standard"/>
        <w:spacing w:before="120"/>
        <w:ind w:left="1134" w:hanging="1134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FC43AE" w:rsidRDefault="00FC4952">
      <w:pPr>
        <w:pStyle w:val="Nadpis2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ČÁST A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Obecná ustanovení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Smluvní strany</w:t>
      </w:r>
    </w:p>
    <w:p w:rsidR="00FC43AE" w:rsidRDefault="00FC4952">
      <w:pPr>
        <w:pStyle w:val="Standard"/>
        <w:numPr>
          <w:ilvl w:val="0"/>
          <w:numId w:val="5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Gymnázium Mikuláše Koperníka, Bílovec, příspěvková organizace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  <w:t xml:space="preserve">17. listopadu </w:t>
      </w:r>
      <w:r>
        <w:rPr>
          <w:rFonts w:ascii="Tahoma" w:hAnsi="Tahoma" w:cs="Tahoma"/>
          <w:sz w:val="22"/>
          <w:szCs w:val="22"/>
        </w:rPr>
        <w:t>526, 743 01  Bílovec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Mgr. Pavel Mrva, ředitel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  <w:t>00601667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CZ00601667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  <w:t>Komerční banka Nový Jičín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3000436801/0100</w:t>
      </w:r>
    </w:p>
    <w:p w:rsidR="00FC43AE" w:rsidRDefault="00FC43AE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technických: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Pavel Mrva, tel.: +420 731 697 288, email:</w:t>
      </w:r>
      <w:r>
        <w:rPr>
          <w:rFonts w:ascii="Tahoma" w:hAnsi="Tahoma" w:cs="Tahoma"/>
          <w:sz w:val="22"/>
          <w:szCs w:val="22"/>
        </w:rPr>
        <w:t xml:space="preserve"> pmrva@gmk.cz</w:t>
      </w:r>
    </w:p>
    <w:p w:rsidR="00FC43AE" w:rsidRDefault="00FC4952">
      <w:pPr>
        <w:pStyle w:val="Standard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:rsidR="00FC43AE" w:rsidRDefault="00FC43AE">
      <w:pPr>
        <w:pStyle w:val="Standard"/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FC43AE" w:rsidRDefault="00FC4952">
      <w:pPr>
        <w:pStyle w:val="Standard"/>
        <w:numPr>
          <w:ilvl w:val="0"/>
          <w:numId w:val="51"/>
        </w:numPr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Název právnické osoby</w:t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podnikající pod jménem: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tabs>
          <w:tab w:val="left" w:pos="3334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</w:p>
    <w:p w:rsidR="00FC43AE" w:rsidRDefault="00FC4952">
      <w:pPr>
        <w:pStyle w:val="Standard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živnostenském rejstříku, vedeném na ……………..</w:t>
      </w:r>
    </w:p>
    <w:p w:rsidR="00FC43AE" w:rsidRDefault="00FC4952">
      <w:pPr>
        <w:pStyle w:val="Standard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(dále jen v části A, B </w:t>
      </w:r>
      <w:r>
        <w:rPr>
          <w:rFonts w:ascii="Tahoma" w:hAnsi="Tahoma" w:cs="Tahoma"/>
          <w:sz w:val="22"/>
          <w:szCs w:val="22"/>
        </w:rPr>
        <w:t>a D „zhotovitel“ a v části C „příkazník“)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Základní ustanovení</w:t>
      </w:r>
    </w:p>
    <w:p w:rsidR="00FC43AE" w:rsidRDefault="00FC4952">
      <w:pPr>
        <w:pStyle w:val="OdstavecSmlouvy"/>
        <w:keepLines w:val="0"/>
        <w:numPr>
          <w:ilvl w:val="0"/>
          <w:numId w:val="52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Tuto smlouvu</w:t>
      </w:r>
      <w:r>
        <w:rPr>
          <w:rFonts w:ascii="Tahoma" w:hAnsi="Tahoma" w:cs="Tahoma"/>
          <w:bCs/>
          <w:sz w:val="22"/>
          <w:szCs w:val="22"/>
        </w:rPr>
        <w:t xml:space="preserve"> uzavírají </w:t>
      </w:r>
      <w:r>
        <w:rPr>
          <w:rFonts w:ascii="Tahoma" w:hAnsi="Tahoma" w:cs="Tahoma"/>
          <w:sz w:val="22"/>
          <w:szCs w:val="22"/>
        </w:rPr>
        <w:t>smluvní strany dle zákona č. 89/2012 Sb., občanský zákoník, ve znění pozdějších předpisů (dále jen „občanský zákoník“)</w:t>
      </w:r>
      <w:r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Smlouva je uzavřena v části B podle ustanovení </w:t>
      </w:r>
      <w:r>
        <w:rPr>
          <w:rFonts w:ascii="Tahoma" w:hAnsi="Tahoma" w:cs="Tahoma"/>
          <w:sz w:val="22"/>
          <w:szCs w:val="22"/>
        </w:rPr>
        <w:t>§ 2586 a násl. občanského zákoníku a v části C podle ustanovení § 2430 a násl. občanského zákoníku.</w:t>
      </w:r>
    </w:p>
    <w:p w:rsidR="00FC43AE" w:rsidRDefault="00FC4952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údaje uvedené v čl. I této smlouvy jsou v souladu se skutečností v době uzavření smlouvy. Smluvní strany se zavazují, že změny</w:t>
      </w:r>
      <w:r>
        <w:rPr>
          <w:rFonts w:ascii="Tahoma" w:hAnsi="Tahoma" w:cs="Tahoma"/>
          <w:sz w:val="22"/>
          <w:szCs w:val="22"/>
        </w:rPr>
        <w:t xml:space="preserve"> dotčených údajů oznámí bez prodlení písemně druhé smluvní straně. Při změně identifikačních údajů smluvních stran včetně změny účtu není nutné uzavírat ke smlouvě dodatek.</w:t>
      </w:r>
    </w:p>
    <w:p w:rsidR="00FC43AE" w:rsidRDefault="00FC4952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Jeli zhotovitel plátcem DPH, prohlašuje, že bankovní účet uvedený v čl. I odst. 2 t</w:t>
      </w:r>
      <w:r>
        <w:rPr>
          <w:rFonts w:ascii="Tahoma" w:hAnsi="Tahoma" w:cs="Tahoma"/>
          <w:sz w:val="22"/>
          <w:szCs w:val="22"/>
        </w:rPr>
        <w:t>éto smlouvy je bankovním účtem zveřejněným ve smyslu zákona č. 235/2004 Sb., o dani z přidané hodnoty, ve znění pozdějších předpisů (dále jen „zákon o DPH“). V případě změny účtu zhotovitele je zhotovitel povinen doložit vlastnictví k novému účtu, a to kop</w:t>
      </w:r>
      <w:r>
        <w:rPr>
          <w:rFonts w:ascii="Tahoma" w:hAnsi="Tahoma" w:cs="Tahoma"/>
          <w:sz w:val="22"/>
          <w:szCs w:val="22"/>
        </w:rPr>
        <w:t>ií příslušné smlouvy nebo potvrzením peněžního ústavu; nový účet však musí být zveřejněným účtem ve smyslu předchozí věty.</w:t>
      </w:r>
    </w:p>
    <w:p w:rsidR="00FC43AE" w:rsidRDefault="00FC4952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Smluvní strany prohlašují, že osoby podepisující tuto smlouvu jsou k tomuto jednání oprávněny.</w:t>
      </w:r>
    </w:p>
    <w:p w:rsidR="00FC43AE" w:rsidRDefault="00FC4952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prohlašuje, že je odborně z</w:t>
      </w:r>
      <w:r>
        <w:rPr>
          <w:rFonts w:ascii="Tahoma" w:hAnsi="Tahoma" w:cs="Tahoma"/>
          <w:sz w:val="22"/>
          <w:szCs w:val="22"/>
        </w:rPr>
        <w:t>působilý k zajištění předmětu plnění podle této smlouvy.</w:t>
      </w:r>
    </w:p>
    <w:p w:rsidR="00FC43AE" w:rsidRDefault="00FC4952">
      <w:pPr>
        <w:pStyle w:val="OdstavecSmlouvy"/>
        <w:keepLines w:val="0"/>
        <w:numPr>
          <w:ilvl w:val="0"/>
          <w:numId w:val="2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</w:t>
      </w:r>
      <w:r>
        <w:rPr>
          <w:rFonts w:ascii="Tahoma" w:hAnsi="Tahoma" w:cs="Tahoma"/>
          <w:sz w:val="22"/>
          <w:szCs w:val="22"/>
        </w:rPr>
        <w:t>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</w:t>
      </w:r>
      <w:r>
        <w:rPr>
          <w:rFonts w:ascii="Tahoma" w:hAnsi="Tahoma" w:cs="Tahoma"/>
          <w:sz w:val="22"/>
          <w:szCs w:val="22"/>
        </w:rPr>
        <w:t>ouva považována za neplatnou.</w:t>
      </w:r>
    </w:p>
    <w:p w:rsidR="00FC43AE" w:rsidRDefault="00FC4952">
      <w:pPr>
        <w:pStyle w:val="Nadpis2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ČÁST B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Smlouva o dílo na zhotovení statického posudku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Předmět plnění</w:t>
      </w:r>
    </w:p>
    <w:p w:rsidR="00FC43AE" w:rsidRDefault="00FC4952">
      <w:r>
        <w:rPr>
          <w:rFonts w:ascii="Tahoma" w:hAnsi="Tahoma" w:cs="Tahoma"/>
          <w:sz w:val="22"/>
          <w:szCs w:val="22"/>
        </w:rPr>
        <w:t>Zhotovitel se zavazuje zpracovat pro objednatele statický posudek</w:t>
      </w:r>
      <w:r>
        <w:rPr>
          <w:rFonts w:ascii="Tahoma" w:hAnsi="Tahoma" w:cs="Tahoma"/>
          <w:bCs/>
          <w:sz w:val="22"/>
          <w:szCs w:val="22"/>
        </w:rPr>
        <w:t xml:space="preserve"> „Z</w:t>
      </w:r>
      <w:r>
        <w:rPr>
          <w:rFonts w:ascii="Tahoma" w:hAnsi="Tahoma" w:cs="Tahoma"/>
          <w:sz w:val="22"/>
          <w:szCs w:val="22"/>
        </w:rPr>
        <w:t xml:space="preserve">pracování statického posouzení střešních konstrukcí stávajících objektů za účelem </w:t>
      </w:r>
      <w:r>
        <w:rPr>
          <w:rFonts w:ascii="Tahoma" w:hAnsi="Tahoma" w:cs="Tahoma"/>
          <w:sz w:val="22"/>
          <w:szCs w:val="22"/>
        </w:rPr>
        <w:t>umístění fotovoltaických (FV) panelů na tyto střechy“ (dále také jako „dílo“). Specifikace díla je uvedena v následujících odstavcích tohoto článku smlouvy.</w:t>
      </w:r>
    </w:p>
    <w:p w:rsidR="00FC43AE" w:rsidRDefault="00FC4952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Dílo má následující části a rozsah:</w:t>
      </w:r>
    </w:p>
    <w:p w:rsidR="00FC43AE" w:rsidRDefault="00FC43AE">
      <w:pPr>
        <w:pStyle w:val="Default"/>
        <w:ind w:left="360"/>
        <w:rPr>
          <w:rFonts w:ascii="Tahoma" w:hAnsi="Tahoma" w:cs="Tahoma"/>
          <w:sz w:val="22"/>
          <w:szCs w:val="22"/>
        </w:rPr>
      </w:pPr>
      <w:bookmarkStart w:id="1" w:name="Bookmark"/>
    </w:p>
    <w:p w:rsidR="00FC43AE" w:rsidRDefault="00FC4952">
      <w:pPr>
        <w:pStyle w:val="Default"/>
        <w:ind w:left="360"/>
      </w:pPr>
      <w:r>
        <w:rPr>
          <w:rFonts w:ascii="Tahoma" w:hAnsi="Tahoma" w:cs="Tahoma"/>
          <w:b/>
          <w:bCs/>
          <w:sz w:val="22"/>
          <w:szCs w:val="22"/>
        </w:rPr>
        <w:t xml:space="preserve">TECHNICKÁ ZPRÁVA STATICKÉHO POSOUZENÍ </w:t>
      </w:r>
      <w:r>
        <w:rPr>
          <w:rFonts w:ascii="Tahoma" w:hAnsi="Tahoma" w:cs="Tahoma"/>
          <w:sz w:val="22"/>
          <w:szCs w:val="22"/>
        </w:rPr>
        <w:t>bude s odkazem na vyhláš</w:t>
      </w:r>
      <w:r>
        <w:rPr>
          <w:rFonts w:ascii="Tahoma" w:hAnsi="Tahoma" w:cs="Tahoma"/>
          <w:sz w:val="22"/>
          <w:szCs w:val="22"/>
        </w:rPr>
        <w:t xml:space="preserve">ku č. 499/2006, o dokumentaci staveb, obsahovat: </w:t>
      </w:r>
    </w:p>
    <w:p w:rsidR="00FC43AE" w:rsidRDefault="00FC43AE">
      <w:pPr>
        <w:pStyle w:val="Default"/>
        <w:spacing w:after="97"/>
        <w:ind w:left="360"/>
        <w:rPr>
          <w:rFonts w:ascii="Tahoma" w:hAnsi="Tahoma" w:cs="Tahoma"/>
          <w:sz w:val="22"/>
          <w:szCs w:val="22"/>
        </w:rPr>
      </w:pPr>
    </w:p>
    <w:p w:rsidR="00FC43AE" w:rsidRDefault="00FC4952">
      <w:pPr>
        <w:pStyle w:val="Default"/>
        <w:spacing w:after="97"/>
        <w:ind w:left="360"/>
      </w:pPr>
      <w:r>
        <w:rPr>
          <w:rFonts w:ascii="Tahoma" w:hAnsi="Tahoma" w:cs="Tahoma"/>
          <w:b/>
          <w:sz w:val="22"/>
          <w:szCs w:val="22"/>
        </w:rPr>
        <w:t>1.1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ZAJIŠTĚNÍ VSTUPNÍCH PODKLADŮ</w:t>
      </w:r>
      <w:r>
        <w:rPr>
          <w:rFonts w:ascii="Tahoma" w:hAnsi="Tahoma" w:cs="Tahoma"/>
          <w:sz w:val="22"/>
          <w:szCs w:val="22"/>
        </w:rPr>
        <w:t>, prostudování dostupné projektové dokumentace stávajícího stavu, obhlídku na místě, místní šetření s prohlídkou stávajícího stavu nosné konstrukce střechy, pořízení základn</w:t>
      </w:r>
      <w:r>
        <w:rPr>
          <w:rFonts w:ascii="Tahoma" w:hAnsi="Tahoma" w:cs="Tahoma"/>
          <w:sz w:val="22"/>
          <w:szCs w:val="22"/>
        </w:rPr>
        <w:t xml:space="preserve">í fotodokumentace střechy a její nosné konstrukce. </w:t>
      </w:r>
    </w:p>
    <w:p w:rsidR="00FC43AE" w:rsidRDefault="00FC4952">
      <w:pPr>
        <w:pStyle w:val="Default"/>
        <w:spacing w:after="97"/>
        <w:ind w:left="360"/>
      </w:pPr>
      <w:r>
        <w:rPr>
          <w:rFonts w:ascii="Tahoma" w:hAnsi="Tahoma" w:cs="Tahoma"/>
          <w:b/>
          <w:sz w:val="22"/>
          <w:szCs w:val="22"/>
        </w:rPr>
        <w:t>1.2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SEZNAM POUŽITÝCH PODKLADŮ</w:t>
      </w:r>
      <w:r>
        <w:rPr>
          <w:rFonts w:ascii="Tahoma" w:hAnsi="Tahoma" w:cs="Tahoma"/>
          <w:sz w:val="22"/>
          <w:szCs w:val="22"/>
        </w:rPr>
        <w:t xml:space="preserve">, základní normy, předpisy, údaje o zatíženích a materiálech; ověření základního koncepčního řešení současného stavu nosné konstrukce střechy. </w:t>
      </w:r>
    </w:p>
    <w:p w:rsidR="00FC43AE" w:rsidRDefault="00FC4952">
      <w:pPr>
        <w:pStyle w:val="Default"/>
        <w:spacing w:after="97"/>
        <w:ind w:left="360"/>
      </w:pPr>
      <w:r>
        <w:rPr>
          <w:rFonts w:ascii="Tahoma" w:hAnsi="Tahoma" w:cs="Tahoma"/>
          <w:b/>
          <w:bCs/>
          <w:sz w:val="22"/>
          <w:szCs w:val="22"/>
        </w:rPr>
        <w:t>1.3 POPIS SOUČASNÉHO KONSTRUKČN</w:t>
      </w:r>
      <w:r>
        <w:rPr>
          <w:rFonts w:ascii="Tahoma" w:hAnsi="Tahoma" w:cs="Tahoma"/>
          <w:b/>
          <w:bCs/>
          <w:sz w:val="22"/>
          <w:szCs w:val="22"/>
        </w:rPr>
        <w:t>ÍHO SYSTÉMU STŘECHY</w:t>
      </w:r>
      <w:r>
        <w:rPr>
          <w:rFonts w:ascii="Tahoma" w:hAnsi="Tahoma" w:cs="Tahoma"/>
          <w:sz w:val="22"/>
          <w:szCs w:val="22"/>
        </w:rPr>
        <w:t xml:space="preserve">, grafická schémata současného stavu nosné konstrukce střechy, výsledek průzkumu stávajícího stavu střechy a její nosné konstrukce. Hodnoty užitných, klimatických a dalších zatížení uvažovaných při posouzení nosné konstrukce střechy. </w:t>
      </w:r>
    </w:p>
    <w:p w:rsidR="00FC43AE" w:rsidRDefault="00FC4952">
      <w:pPr>
        <w:pStyle w:val="Default"/>
        <w:spacing w:after="97"/>
        <w:ind w:left="360"/>
      </w:pPr>
      <w:r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b/>
          <w:sz w:val="22"/>
          <w:szCs w:val="22"/>
        </w:rPr>
        <w:t xml:space="preserve">4 </w:t>
      </w:r>
      <w:r>
        <w:rPr>
          <w:rFonts w:ascii="Tahoma" w:hAnsi="Tahoma" w:cs="Tahoma"/>
          <w:b/>
          <w:bCs/>
          <w:sz w:val="22"/>
          <w:szCs w:val="22"/>
        </w:rPr>
        <w:t xml:space="preserve">STATICKÝ VÝPOČET </w:t>
      </w:r>
      <w:r>
        <w:rPr>
          <w:rFonts w:ascii="Tahoma" w:hAnsi="Tahoma" w:cs="Tahoma"/>
          <w:sz w:val="22"/>
          <w:szCs w:val="22"/>
        </w:rPr>
        <w:t xml:space="preserve">a posouzení stability konstrukce střechy ve stávajícím současném stavu </w:t>
      </w:r>
      <w:r>
        <w:rPr>
          <w:rFonts w:ascii="Tahoma" w:hAnsi="Tahoma" w:cs="Tahoma"/>
          <w:b/>
          <w:bCs/>
          <w:sz w:val="22"/>
          <w:szCs w:val="22"/>
        </w:rPr>
        <w:t>a dále ve stavu po přitížení FV panely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FC43AE" w:rsidRDefault="00FC4952">
      <w:pPr>
        <w:pStyle w:val="Default"/>
        <w:spacing w:after="104"/>
        <w:ind w:left="360"/>
      </w:pPr>
      <w:r>
        <w:rPr>
          <w:rFonts w:ascii="Tahoma" w:hAnsi="Tahoma" w:cs="Tahoma"/>
          <w:b/>
          <w:sz w:val="22"/>
          <w:szCs w:val="22"/>
        </w:rPr>
        <w:t>1.5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ZÁVĚR A CELKOVÉ ZHODNOCENÍ nosné konstrukce střechy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 xml:space="preserve">- VYHOVÍ na přitížení, NEVYHOVÍ na přitížení. </w:t>
      </w:r>
    </w:p>
    <w:p w:rsidR="00FC43AE" w:rsidRDefault="00FC4952">
      <w:pPr>
        <w:pStyle w:val="Default"/>
        <w:spacing w:after="104"/>
        <w:ind w:left="360"/>
      </w:pPr>
      <w:r>
        <w:rPr>
          <w:rFonts w:ascii="Tahoma" w:hAnsi="Tahoma" w:cs="Tahoma"/>
          <w:b/>
          <w:bCs/>
          <w:sz w:val="22"/>
          <w:szCs w:val="22"/>
        </w:rPr>
        <w:tab/>
        <w:t xml:space="preserve">a) DOPORUČENÍ </w:t>
      </w:r>
      <w:r>
        <w:rPr>
          <w:rFonts w:ascii="Tahoma" w:hAnsi="Tahoma" w:cs="Tahoma"/>
          <w:sz w:val="22"/>
          <w:szCs w:val="22"/>
        </w:rPr>
        <w:t xml:space="preserve">pro </w:t>
      </w:r>
      <w:r>
        <w:rPr>
          <w:rFonts w:ascii="Tahoma" w:hAnsi="Tahoma" w:cs="Tahoma"/>
          <w:sz w:val="22"/>
          <w:szCs w:val="22"/>
        </w:rPr>
        <w:t xml:space="preserve">umístění a rozmístění FV panelů na střeše ve vztahu k nosné konstrukci střechy a její případné „statické rezervě“. </w:t>
      </w:r>
    </w:p>
    <w:p w:rsidR="00FC43AE" w:rsidRDefault="00FC4952">
      <w:pPr>
        <w:pStyle w:val="Default"/>
        <w:ind w:left="360"/>
      </w:pPr>
      <w:r>
        <w:rPr>
          <w:rFonts w:ascii="Tahoma" w:hAnsi="Tahoma" w:cs="Tahoma"/>
          <w:b/>
          <w:bCs/>
          <w:sz w:val="22"/>
          <w:szCs w:val="22"/>
        </w:rPr>
        <w:tab/>
        <w:t xml:space="preserve">b) TECHNICKÝ POPIS návrhu stavebních úprav na zesílení </w:t>
      </w:r>
      <w:r>
        <w:rPr>
          <w:rFonts w:ascii="Tahoma" w:hAnsi="Tahoma" w:cs="Tahoma"/>
          <w:sz w:val="22"/>
          <w:szCs w:val="22"/>
        </w:rPr>
        <w:t xml:space="preserve">nosné konstrukce střechy, které budou </w:t>
      </w:r>
      <w:r>
        <w:rPr>
          <w:rFonts w:ascii="Tahoma" w:hAnsi="Tahoma" w:cs="Tahoma"/>
          <w:b/>
          <w:bCs/>
          <w:sz w:val="22"/>
          <w:szCs w:val="22"/>
        </w:rPr>
        <w:t>technicky, technologicky a „přiměřeně“ ekonomi</w:t>
      </w:r>
      <w:r>
        <w:rPr>
          <w:rFonts w:ascii="Tahoma" w:hAnsi="Tahoma" w:cs="Tahoma"/>
          <w:b/>
          <w:bCs/>
          <w:sz w:val="22"/>
          <w:szCs w:val="22"/>
        </w:rPr>
        <w:t>cky realizovatelné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FC43AE" w:rsidRDefault="00FC43AE">
      <w:pPr>
        <w:pStyle w:val="Default"/>
        <w:ind w:left="360"/>
        <w:rPr>
          <w:rFonts w:ascii="Tahoma" w:hAnsi="Tahoma" w:cs="Tahoma"/>
          <w:sz w:val="22"/>
          <w:szCs w:val="22"/>
        </w:rPr>
      </w:pPr>
    </w:p>
    <w:p w:rsidR="00FC43AE" w:rsidRDefault="00FC43A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</w:p>
    <w:bookmarkEnd w:id="1"/>
    <w:p w:rsidR="00FC43AE" w:rsidRDefault="00FC4952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:rsidR="00FC43AE" w:rsidRDefault="00FC4952">
      <w:pPr>
        <w:pStyle w:val="slovanPododstavecSmlouvy"/>
        <w:numPr>
          <w:ilvl w:val="0"/>
          <w:numId w:val="13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dokumentace dle odst. 1 bodu tohoto článku smlouvy budou objednateli dodány ve 2 listinných vyhotoveních a 1x na flash disku ve formátu pro texty *.doc</w:t>
      </w:r>
      <w:r>
        <w:rPr>
          <w:rFonts w:ascii="Tahoma" w:hAnsi="Tahoma" w:cs="Tahoma"/>
          <w:sz w:val="22"/>
          <w:szCs w:val="22"/>
        </w:rPr>
        <w:t xml:space="preserve"> (*.rtf), pro tabulky *.xls, pro skenované dokumenty *.pdf, pro výkresovou dokumentaci *.dwg,</w:t>
      </w:r>
    </w:p>
    <w:p w:rsidR="00FC43AE" w:rsidRDefault="00FC4952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:rsidR="00FC43AE" w:rsidRDefault="00FC4952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Doba a místo plnění</w:t>
      </w:r>
    </w:p>
    <w:p w:rsidR="00FC43AE" w:rsidRDefault="00FC4952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Zho</w:t>
      </w:r>
      <w:r>
        <w:rPr>
          <w:rFonts w:ascii="Tahoma" w:hAnsi="Tahoma" w:cs="Tahoma"/>
          <w:sz w:val="22"/>
          <w:szCs w:val="22"/>
        </w:rPr>
        <w:t xml:space="preserve">tovitel je povinen dokončit a předat objednateli d9lo dle čl. III odst. 1 této smlouvy nejpozději </w:t>
      </w:r>
      <w:r>
        <w:rPr>
          <w:rFonts w:ascii="Tahoma" w:hAnsi="Tahoma" w:cs="Tahoma"/>
          <w:b/>
          <w:sz w:val="22"/>
          <w:szCs w:val="22"/>
        </w:rPr>
        <w:t>do 31. 12. 2023.</w:t>
      </w:r>
    </w:p>
    <w:p w:rsidR="00FC43AE" w:rsidRDefault="00FC4952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Místem plnění pro předání díla je sídlo objednatele.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Předání díla, vlastnické právo k předmětu díla a nebezpečí škody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se zavazu</w:t>
      </w:r>
      <w:r>
        <w:rPr>
          <w:rFonts w:ascii="Tahoma" w:hAnsi="Tahoma" w:cs="Tahoma"/>
          <w:sz w:val="22"/>
          <w:szCs w:val="22"/>
        </w:rPr>
        <w:t>je dílo převzít v případě, že bude provedeno bez vad a nedodělků. K předání díla zhotovitel vyhotoví protokol, ve kterém objednatel po ukončení přejímacího řízení prohlásí, zda dílo přejímá či nikoli.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Objednatel je povinen potvrdit v předávacím protokolu, </w:t>
      </w:r>
      <w:r>
        <w:rPr>
          <w:rFonts w:ascii="Tahoma" w:hAnsi="Tahoma" w:cs="Tahoma"/>
          <w:sz w:val="22"/>
          <w:szCs w:val="22"/>
        </w:rPr>
        <w:t>zda dílo přejímá či nikoli do 5 pracovních dnů od předložení díla k přejímacímu řízení.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nepřevzetím) není zhotovitel v prodlení s provedením díl</w:t>
      </w:r>
      <w:r>
        <w:rPr>
          <w:rFonts w:ascii="Tahoma" w:hAnsi="Tahoma" w:cs="Tahoma"/>
          <w:sz w:val="22"/>
          <w:szCs w:val="22"/>
        </w:rPr>
        <w:t>a.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není povinen dílo převzít, pokud toto vykazuje vady či nedodělky. V takovém případě objednatel vady nebo nedodělky specifikuje v předávacím protokolu.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</w:t>
      </w:r>
      <w:r>
        <w:rPr>
          <w:rFonts w:ascii="Tahoma" w:hAnsi="Tahoma" w:cs="Tahoma"/>
          <w:sz w:val="22"/>
          <w:szCs w:val="22"/>
        </w:rPr>
        <w:t>ve smyslu zákona č. 121/2000 Sb., o právu autorském, o právech souvisejících s právem autorským a o změně některých zákonů (autorský zákon), ve znění pozdějších předpisů (dále jen „licence“), a to:</w:t>
      </w:r>
    </w:p>
    <w:p w:rsidR="00FC43AE" w:rsidRDefault="00FC4952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1428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původní nebo zpracované či jinak změněné podobě,</w:t>
      </w:r>
    </w:p>
    <w:p w:rsidR="00FC43AE" w:rsidRDefault="00FC4952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1428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všemi z</w:t>
      </w:r>
      <w:r>
        <w:rPr>
          <w:rFonts w:ascii="Tahoma" w:hAnsi="Tahoma" w:cs="Tahoma"/>
          <w:sz w:val="22"/>
          <w:szCs w:val="22"/>
        </w:rPr>
        <w:t>působy užití,</w:t>
      </w:r>
    </w:p>
    <w:p w:rsidR="00FC43AE" w:rsidRDefault="00FC4952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1428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:rsidR="00FC43AE" w:rsidRDefault="00FC4952">
      <w:pPr>
        <w:pStyle w:val="OdstavecSmlouvy"/>
        <w:keepLines w:val="0"/>
        <w:tabs>
          <w:tab w:val="clear" w:pos="426"/>
          <w:tab w:val="clear" w:pos="1701"/>
          <w:tab w:val="left" w:pos="107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:rsidR="00FC43AE" w:rsidRDefault="00FC4952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Vlastnické právo k projektové dokumentaci a dalším dokumentům a hmotným výstupům, které jsou předmětem díla, a nebezpečí škody na nich přechází na objednatele dnem jejich převzetí objed</w:t>
      </w:r>
      <w:r>
        <w:rPr>
          <w:rFonts w:ascii="Tahoma" w:hAnsi="Tahoma" w:cs="Tahoma"/>
          <w:sz w:val="22"/>
          <w:szCs w:val="22"/>
        </w:rPr>
        <w:t>natelem.</w:t>
      </w:r>
    </w:p>
    <w:p w:rsidR="00FC43AE" w:rsidRDefault="00FC4952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Provádění díla, práva a povinnosti stran</w:t>
      </w:r>
    </w:p>
    <w:p w:rsidR="00FC43AE" w:rsidRDefault="00FC4952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je zejména povinen: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dodržovat při provádění díla ujednání této smlouvy, řídit se podklady a pokyny </w:t>
      </w:r>
      <w:r>
        <w:rPr>
          <w:rFonts w:ascii="Tahoma" w:hAnsi="Tahoma" w:cs="Tahoma"/>
          <w:sz w:val="22"/>
          <w:szCs w:val="22"/>
        </w:rPr>
        <w:t>objednatele a vyjádřeními správců sítí a dotčených orgánů státní správy,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na svůj náklad a své nebezpečí,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účastnit se na základě pozvánky objednatele všech jednání týkajících se díla,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poskytnout objednateli požadovanou dokumentaci,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písemně info</w:t>
      </w:r>
      <w:r>
        <w:rPr>
          <w:rFonts w:ascii="Tahoma" w:hAnsi="Tahoma" w:cs="Tahoma"/>
          <w:sz w:val="22"/>
          <w:szCs w:val="22"/>
        </w:rPr>
        <w:t>rmovat objednatele o skutečnostech majících vliv na plnění smlouvy, a to neprodleně, nejpozději následující pracovní den poté, kdy příslušná skutečnost nastane nebo zhotovitel zjistí, že by nastat mohla,</w:t>
      </w:r>
    </w:p>
    <w:p w:rsidR="00FC43AE" w:rsidRDefault="00FC4952">
      <w:pPr>
        <w:pStyle w:val="slovanPododstavecSmlouvy"/>
        <w:numPr>
          <w:ilvl w:val="0"/>
          <w:numId w:val="53"/>
        </w:numPr>
      </w:pPr>
      <w:r>
        <w:rPr>
          <w:rFonts w:ascii="Tahoma" w:hAnsi="Tahoma" w:cs="Tahoma"/>
          <w:sz w:val="22"/>
          <w:szCs w:val="22"/>
        </w:rPr>
        <w:t>na základě požadavku objednatele poskytnout vysvětle</w:t>
      </w:r>
      <w:r>
        <w:rPr>
          <w:rFonts w:ascii="Tahoma" w:hAnsi="Tahoma" w:cs="Tahoma"/>
          <w:sz w:val="22"/>
          <w:szCs w:val="22"/>
        </w:rPr>
        <w:t>ní k dotazům účastníků zadávacího řízení na realizaci stavby vztahujícím se k projektové dokumentaci stavby dle této smlouvy. Požadované vysvětlení je zhotovitel povinen objednateli poskytnout písemně nejpozději do 2 pracovních dnů ode dne doručení požadav</w:t>
      </w:r>
      <w:r>
        <w:rPr>
          <w:rFonts w:ascii="Tahoma" w:hAnsi="Tahoma" w:cs="Tahoma"/>
          <w:sz w:val="22"/>
          <w:szCs w:val="22"/>
        </w:rPr>
        <w:t xml:space="preserve">ku objednatele. Objednatel zašle požadavek na poskytnutí vysvětlení na e-mail: </w:t>
      </w:r>
      <w:r>
        <w:rPr>
          <w:rFonts w:ascii="Tahoma" w:hAnsi="Tahoma" w:cs="Tahoma"/>
          <w:color w:val="6666FF"/>
          <w:sz w:val="22"/>
          <w:szCs w:val="22"/>
          <w:u w:val="single"/>
        </w:rPr>
        <w:t>………………………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 případě, že zhotovitel obdrží dotaz přímo od účastníka zadávacího řízení na výběr zhotovitele stavby, není oprávněn sám vysvětlení poskytnout, ale toto vysvětlení </w:t>
      </w:r>
      <w:r>
        <w:rPr>
          <w:rFonts w:ascii="Tahoma" w:hAnsi="Tahoma" w:cs="Tahoma"/>
          <w:sz w:val="22"/>
          <w:szCs w:val="22"/>
        </w:rPr>
        <w:t>musí bezodkladně poskytnout objednateli,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ostupovat při provádění díla s odbornou péčí,</w:t>
      </w:r>
    </w:p>
    <w:p w:rsidR="00FC43AE" w:rsidRDefault="00FC4952">
      <w:pPr>
        <w:pStyle w:val="slovanPododstavecSmlouvy"/>
        <w:numPr>
          <w:ilvl w:val="0"/>
          <w:numId w:val="53"/>
        </w:numPr>
        <w:tabs>
          <w:tab w:val="clear" w:pos="284"/>
          <w:tab w:val="left" w:pos="-2886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zajistit si veškerou potřebnou dokumentaci pro řádné provedení díla.</w:t>
      </w:r>
    </w:p>
    <w:p w:rsidR="00FC43AE" w:rsidRDefault="00FC4952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 a termín </w:t>
      </w:r>
      <w:r>
        <w:rPr>
          <w:rFonts w:ascii="Tahoma" w:hAnsi="Tahoma" w:cs="Tahoma"/>
          <w:sz w:val="22"/>
          <w:szCs w:val="22"/>
        </w:rPr>
        <w:t>plnění zavazují se zhotovitel i objednatel na tyto skutečnosti písemně upozornit druhou smluvní stranu.</w:t>
      </w:r>
    </w:p>
    <w:p w:rsidR="00FC43AE" w:rsidRDefault="00FC4952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</w:t>
      </w:r>
      <w:r>
        <w:rPr>
          <w:rFonts w:ascii="Tahoma" w:hAnsi="Tahoma" w:cs="Tahoma"/>
          <w:sz w:val="22"/>
          <w:szCs w:val="22"/>
        </w:rPr>
        <w:t>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</w:t>
      </w:r>
      <w:r>
        <w:rPr>
          <w:rFonts w:ascii="Tahoma" w:hAnsi="Tahoma" w:cs="Tahoma"/>
          <w:sz w:val="22"/>
          <w:szCs w:val="22"/>
        </w:rPr>
        <w:t>kumentace stavební části s částí vybavení.</w:t>
      </w:r>
    </w:p>
    <w:p w:rsidR="00FC43AE" w:rsidRDefault="00FC4952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doplňujících údajů, upřesnění vyjádření a stanovisek, jejichž potřeba vznikne v průběhu plnění. Tuto p</w:t>
      </w:r>
      <w:r>
        <w:rPr>
          <w:rFonts w:ascii="Tahoma" w:hAnsi="Tahoma" w:cs="Tahoma"/>
          <w:sz w:val="22"/>
          <w:szCs w:val="22"/>
        </w:rPr>
        <w:t>omoc poskytne zhotoviteli ve lhůtě a rozsahu dojednaném oběma stranami.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Cena díla</w:t>
      </w:r>
      <w:bookmarkStart w:id="2" w:name="Bookmark1"/>
    </w:p>
    <w:p w:rsidR="00FC43AE" w:rsidRDefault="00FC4952">
      <w:pPr>
        <w:pStyle w:val="OdstavecSmlouvy"/>
        <w:keepNext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díla je stanovena dohodou smluvních stran a činí:</w:t>
      </w:r>
    </w:p>
    <w:p w:rsidR="00FC43AE" w:rsidRDefault="00FC43AE">
      <w:pPr>
        <w:pStyle w:val="Zkladntextodsazen2"/>
        <w:tabs>
          <w:tab w:val="right" w:pos="4610"/>
        </w:tabs>
        <w:spacing w:before="120"/>
        <w:ind w:left="357" w:firstLine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9518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7"/>
        <w:gridCol w:w="1452"/>
        <w:gridCol w:w="1452"/>
        <w:gridCol w:w="1697"/>
      </w:tblGrid>
      <w:tr w:rsidR="00FC43A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Dílo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DPH 21 % (v Kč)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FC43AE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Zkladntextodsazen2"/>
              <w:ind w:firstLine="0"/>
              <w:jc w:val="left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>
              <w:rPr>
                <w:rFonts w:ascii="Tahoma" w:hAnsi="Tahoma" w:cs="Tahoma"/>
                <w:sz w:val="22"/>
                <w:szCs w:val="22"/>
              </w:rPr>
              <w:t xml:space="preserve">pracování statického posouzení střešních </w:t>
            </w:r>
            <w:r>
              <w:rPr>
                <w:rFonts w:ascii="Tahoma" w:hAnsi="Tahoma" w:cs="Tahoma"/>
                <w:sz w:val="22"/>
                <w:szCs w:val="22"/>
              </w:rPr>
              <w:t>konstrukcí stávajících objektů za účelem umístění fotovoltaických (FV) panelů na tyto střechy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43A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952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Zkladntextodsazen2"/>
              <w:snapToGrid w:val="0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C43AE" w:rsidRDefault="00FC4952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46" w:hanging="346"/>
        <w:rPr>
          <w:rFonts w:ascii="Tahoma" w:hAnsi="Tahoma" w:cs="Tahoma"/>
          <w:sz w:val="22"/>
          <w:szCs w:val="22"/>
        </w:rPr>
      </w:pPr>
      <w:bookmarkStart w:id="3" w:name="_Hlk46392749"/>
      <w:bookmarkEnd w:id="2"/>
      <w:bookmarkEnd w:id="3"/>
      <w:r>
        <w:rPr>
          <w:rFonts w:ascii="Tahoma" w:hAnsi="Tahoma" w:cs="Tahoma"/>
          <w:sz w:val="22"/>
          <w:szCs w:val="22"/>
        </w:rPr>
        <w:t>Součástí sjednané ceny jsou veškeré práce a dodávky, poplatky a jiné náklady nezbytné pro řádné a úplné provedení díla.</w:t>
      </w:r>
    </w:p>
    <w:p w:rsidR="00FC43AE" w:rsidRDefault="00FC4952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Cena díla uvedená </w:t>
      </w:r>
      <w:r>
        <w:rPr>
          <w:rFonts w:ascii="Tahoma" w:hAnsi="Tahoma" w:cs="Tahoma"/>
          <w:sz w:val="22"/>
          <w:szCs w:val="22"/>
        </w:rPr>
        <w:t>v odst. 1 tohoto článku je cenou nejvýše přípustnou a nelze ji překročit.</w:t>
      </w:r>
    </w:p>
    <w:p w:rsidR="00FC43AE" w:rsidRDefault="00FC4952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</w:pPr>
      <w:bookmarkStart w:id="4" w:name="Bookmark2"/>
      <w:r>
        <w:rPr>
          <w:rFonts w:ascii="Tahoma" w:hAnsi="Tahoma" w:cs="Tahoma"/>
          <w:sz w:val="22"/>
          <w:szCs w:val="22"/>
        </w:rPr>
        <w:t xml:space="preserve">V případě, že je zhotovitel plátcem DPH a dojde ke změně zákonné sazby DPH, je zhotovitel </w:t>
      </w:r>
      <w:r>
        <w:rPr>
          <w:rFonts w:ascii="Tahoma" w:hAnsi="Tahoma" w:cs="Tahoma"/>
          <w:sz w:val="22"/>
          <w:szCs w:val="22"/>
        </w:rPr>
        <w:lastRenderedPageBreak/>
        <w:t>povinen k ceně díla bez DPH účtovat DPH v platné výši. Smluvní strany se dohodly, že v přípa</w:t>
      </w:r>
      <w:r>
        <w:rPr>
          <w:rFonts w:ascii="Tahoma" w:hAnsi="Tahoma" w:cs="Tahoma"/>
          <w:sz w:val="22"/>
          <w:szCs w:val="22"/>
        </w:rPr>
        <w:t>dě změny ceny díla v důsledku změny sazby DPH není nutno ke smlouvě uzavírat dodatek. Je-li zhotovitel plátcem DPH, odpovídá za to, že sazba daně z přidané hodnoty bude stanovena v souladu s platnými právními předpisy.</w:t>
      </w:r>
      <w:r>
        <w:rPr>
          <w:rFonts w:ascii="Tahoma" w:hAnsi="Tahoma" w:cs="Tahoma"/>
          <w:bCs/>
          <w:sz w:val="22"/>
          <w:szCs w:val="22"/>
        </w:rPr>
        <w:t xml:space="preserve"> V případě, že zhotovitel stanoví sazb</w:t>
      </w:r>
      <w:r>
        <w:rPr>
          <w:rFonts w:ascii="Tahoma" w:hAnsi="Tahoma" w:cs="Tahoma"/>
          <w:bCs/>
          <w:sz w:val="22"/>
          <w:szCs w:val="22"/>
        </w:rPr>
        <w:t>u DPH či DPH v rozporu s platnými právními předpisy, je povinen uhradit objednateli veškerou škodu, která mu v souvislosti s tím vznikla.</w:t>
      </w:r>
    </w:p>
    <w:bookmarkEnd w:id="4"/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Platební podmínky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Zálohy nejsou sjednány.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519" w:hanging="5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souladu se zákonem o DPH sjednávají smluvní strany dílčí plnění. </w:t>
      </w:r>
      <w:r>
        <w:rPr>
          <w:rFonts w:ascii="Tahoma" w:hAnsi="Tahoma" w:cs="Tahoma"/>
          <w:sz w:val="22"/>
          <w:szCs w:val="22"/>
        </w:rPr>
        <w:t>Dílčí plnění se považuje za samostatné zdanitelné plnění uskutečněné dle odst. 3 tohoto článku smlouvy.</w:t>
      </w:r>
    </w:p>
    <w:p w:rsidR="00FC43AE" w:rsidRDefault="00FC4952">
      <w:pPr>
        <w:pStyle w:val="OdstavecSmlouvy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519" w:hanging="5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Cena za dílo bude uhrazena po předání a převzetí celého díla.</w:t>
      </w:r>
    </w:p>
    <w:p w:rsidR="00FC43AE" w:rsidRDefault="00FC4952">
      <w:pPr>
        <w:pStyle w:val="OdstavecSmlouvy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519" w:hanging="5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Je-li zhotovitel plátcem DPH, podkladem pro úhradu ceny za dílo bude faktura, která bude </w:t>
      </w:r>
      <w:r>
        <w:rPr>
          <w:rFonts w:ascii="Tahoma" w:hAnsi="Tahoma" w:cs="Tahoma"/>
          <w:sz w:val="22"/>
          <w:szCs w:val="22"/>
        </w:rPr>
        <w:t>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č.</w:t>
      </w:r>
      <w:r>
        <w:rPr>
          <w:rFonts w:ascii="Tahoma" w:hAnsi="Tahoma" w:cs="Tahoma"/>
          <w:sz w:val="22"/>
          <w:szCs w:val="22"/>
        </w:rPr>
        <w:t xml:space="preserve"> 563/1991 Sb., o účetnictví, ve znění pozdějších předpisů, a náležitosti stanovené dalšími obecně závaznými právními předpisy. Faktura musí dále obsahovat:</w:t>
      </w:r>
    </w:p>
    <w:p w:rsidR="00FC43AE" w:rsidRDefault="00FC4952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smlouvy objednatele, IČO objednatele,</w:t>
      </w:r>
    </w:p>
    <w:p w:rsidR="00FC43AE" w:rsidRDefault="00FC4952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</w:pPr>
      <w:r>
        <w:rPr>
          <w:rFonts w:ascii="Tahoma" w:hAnsi="Tahoma" w:cs="Tahoma"/>
          <w:sz w:val="22"/>
          <w:szCs w:val="22"/>
        </w:rPr>
        <w:t>předmět smlouvy, tj. text Zhotovení projektové dokumenta</w:t>
      </w:r>
      <w:r>
        <w:rPr>
          <w:rFonts w:ascii="Tahoma" w:hAnsi="Tahoma" w:cs="Tahoma"/>
          <w:sz w:val="22"/>
          <w:szCs w:val="22"/>
        </w:rPr>
        <w:t>ce stavby „</w:t>
      </w:r>
      <w:r>
        <w:rPr>
          <w:rFonts w:ascii="Tahoma" w:hAnsi="Tahoma" w:cs="Tahoma"/>
          <w:bCs/>
          <w:sz w:val="22"/>
          <w:szCs w:val="22"/>
        </w:rPr>
        <w:t>Vybudování pracoviště pro odbornou praxi – kadeřnictví, zpracování projektové dokumentace a zajištění autorského dozoru“</w:t>
      </w:r>
      <w:r>
        <w:rPr>
          <w:rFonts w:ascii="Tahoma" w:hAnsi="Tahoma" w:cs="Tahoma"/>
          <w:sz w:val="22"/>
          <w:szCs w:val="22"/>
        </w:rPr>
        <w:t>,</w:t>
      </w:r>
    </w:p>
    <w:p w:rsidR="00FC43AE" w:rsidRDefault="00FC4952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označení banky a čísla účtu, na který má být zaplaceno (pokud je číslo účtu odlišné od čísla uvedeného v čl. I odst. 2, je </w:t>
      </w:r>
      <w:r>
        <w:rPr>
          <w:rFonts w:ascii="Tahoma" w:hAnsi="Tahoma" w:cs="Tahoma"/>
          <w:sz w:val="22"/>
          <w:szCs w:val="22"/>
        </w:rPr>
        <w:t>zhotovitel povinen o této skutečnosti v souladu s čl. II odst. 2 a 3 této smlouvy informovat objednatele),</w:t>
      </w:r>
    </w:p>
    <w:p w:rsidR="00FC43AE" w:rsidRDefault="00FC4952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:rsidR="00FC43AE" w:rsidRDefault="00FC4952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lhůtu splatnosti faktury,</w:t>
      </w:r>
    </w:p>
    <w:p w:rsidR="00FC43AE" w:rsidRDefault="00FC4952">
      <w:pPr>
        <w:pStyle w:val="slovanPododstavecSmlouvy"/>
        <w:numPr>
          <w:ilvl w:val="0"/>
          <w:numId w:val="5"/>
        </w:numPr>
        <w:tabs>
          <w:tab w:val="clear" w:pos="284"/>
        </w:tabs>
        <w:spacing w:before="60"/>
        <w:ind w:left="692" w:hanging="3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Lhůta splatnosti faktury činí 30 kalendářních dnů ode dne jejího doručení objednateli.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Fakturu může zhotovitel vystavit pouze na základě předávacího protokolu dle čl. V odst. 2 té</w:t>
      </w:r>
      <w:r>
        <w:rPr>
          <w:rFonts w:ascii="Tahoma" w:hAnsi="Tahoma" w:cs="Tahoma"/>
          <w:sz w:val="22"/>
          <w:szCs w:val="22"/>
        </w:rPr>
        <w:t>to smlouvy, podepsaného oprávněnými zástupci obou smluvních stran, v němž bude uvedeno stanovisko objednatele, že dílo přejímá.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Doručení faktury se provede osobně oproti podpisu osoby příslušné v této věci objednatele zastupovat, doručenkou prostřednictvím</w:t>
      </w:r>
      <w:r>
        <w:rPr>
          <w:rFonts w:ascii="Tahoma" w:hAnsi="Tahoma" w:cs="Tahoma"/>
          <w:sz w:val="22"/>
          <w:szCs w:val="22"/>
        </w:rPr>
        <w:t xml:space="preserve"> provozovatele poštovních služeb nebo do datové schránky objednatele.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</w:t>
      </w:r>
      <w:r>
        <w:rPr>
          <w:rFonts w:ascii="Tahoma" w:hAnsi="Tahoma" w:cs="Tahoma"/>
          <w:sz w:val="22"/>
          <w:szCs w:val="22"/>
        </w:rPr>
        <w:t>m důvodu vrácení. Zhotovitel provede opravu faktury a znovu ji doručí objednateli. Vrácením vadné faktury zhotoviteli přestává běžet původní lhůta splatnosti. Nová lhůta splatnosti běží opět ode dne doručení opravené faktury objednateli.</w:t>
      </w:r>
    </w:p>
    <w:p w:rsidR="00FC43AE" w:rsidRDefault="00FC4952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Povinnost zaplatit</w:t>
      </w:r>
      <w:r>
        <w:rPr>
          <w:rFonts w:ascii="Tahoma" w:hAnsi="Tahoma" w:cs="Tahoma"/>
          <w:sz w:val="22"/>
          <w:szCs w:val="22"/>
        </w:rPr>
        <w:t xml:space="preserve"> cenu za dílo je splněna dnem odepsání příslušné částky z účtu objednatele.</w:t>
      </w:r>
      <w:bookmarkStart w:id="5" w:name="Bookmark3"/>
    </w:p>
    <w:bookmarkEnd w:id="5"/>
    <w:p w:rsidR="00FC43AE" w:rsidRDefault="00FC4952">
      <w:pPr>
        <w:pStyle w:val="slolnkuSmlouvy"/>
        <w:spacing w:before="360"/>
      </w:pPr>
      <w:r>
        <w:rPr>
          <w:rFonts w:ascii="Tahoma" w:hAnsi="Tahoma" w:cs="Tahoma"/>
          <w:bCs/>
          <w:sz w:val="22"/>
          <w:szCs w:val="22"/>
        </w:rPr>
        <w:lastRenderedPageBreak/>
        <w:t>IX.</w:t>
      </w:r>
      <w:r>
        <w:rPr>
          <w:rFonts w:ascii="Tahoma" w:hAnsi="Tahoma" w:cs="Tahoma"/>
          <w:bCs/>
          <w:strike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Práva z vadného plnění</w:t>
      </w:r>
    </w:p>
    <w:p w:rsidR="00FC43AE" w:rsidRDefault="00FC4952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Dílo má vady, jestliže neodpovídá požadavkům uvedeným ve smlouvě. Výsledky tvůrčí činnosti zhotovitele dle této smlouvy zachycené ve formě jednotlivých </w:t>
      </w:r>
      <w:r>
        <w:rPr>
          <w:rFonts w:ascii="Tahoma" w:hAnsi="Tahoma" w:cs="Tahoma"/>
          <w:sz w:val="22"/>
          <w:szCs w:val="22"/>
        </w:rPr>
        <w:t>dokumentací dle čl. III odst. 2 body 2.1 – 2.2 této smlouvy mají vady, jestliže neodpovídají této smlouvě, požadavkům, připomínkám nebo pokynům objednatele uplatněným v průběhu poskytování plnění zhotovitele dle této smlouvy. Za vadu výsledku tvůrčí činnos</w:t>
      </w:r>
      <w:r>
        <w:rPr>
          <w:rFonts w:ascii="Tahoma" w:hAnsi="Tahoma" w:cs="Tahoma"/>
          <w:sz w:val="22"/>
          <w:szCs w:val="22"/>
        </w:rPr>
        <w:t>ti zhotovitele je považováno i opomenutí takového technického řešení, které je vzhledem k objektivním skutečnostem, tedy zejména technickým a ekonomickým poznatkům v oblasti zhotovování staveb, nezbytné pro řádné provedení díla a toto opomenutí bude mít př</w:t>
      </w:r>
      <w:r>
        <w:rPr>
          <w:rFonts w:ascii="Tahoma" w:hAnsi="Tahoma" w:cs="Tahoma"/>
          <w:sz w:val="22"/>
          <w:szCs w:val="22"/>
        </w:rPr>
        <w:t>i realizaci stavby za následek dodatečné změny rozsahu díla proti stavu předpokládanému v dokumentacích dle čl. III odst. 2 body 2.1 – 2.2 této smlouvy.</w:t>
      </w:r>
    </w:p>
    <w:p w:rsidR="00FC43AE" w:rsidRDefault="00FC4952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</w:t>
      </w:r>
      <w:r>
        <w:rPr>
          <w:rFonts w:ascii="Tahoma" w:hAnsi="Tahoma" w:cs="Tahoma"/>
          <w:sz w:val="22"/>
          <w:szCs w:val="22"/>
        </w:rPr>
        <w:t>í až později. Objednatel má právo z vadného plnění také z vad vzniklých po převzetí díla objednatelem, pokud je zhotovitel způsobil porušením své povinnosti. Projeví-li se vada v průběhu 6 měsíců od převzetí díla objednatelem, má se za to, že dílo bylo vad</w:t>
      </w:r>
      <w:r>
        <w:rPr>
          <w:rFonts w:ascii="Tahoma" w:hAnsi="Tahoma" w:cs="Tahoma"/>
          <w:sz w:val="22"/>
          <w:szCs w:val="22"/>
        </w:rPr>
        <w:t>né již při převzetí, neprokáže-li zhotovitel opak.</w:t>
      </w:r>
    </w:p>
    <w:p w:rsidR="00FC43AE" w:rsidRDefault="00FC4952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Vyskytne-li se na provedeném díle vada, objednatel písemně oznámí zhotoviteli její výskyt, vadu popíše a uvede, jak se projevuje. Jakmile objednatel odeslal toto písemné oznámení, má se za to, že požaduje </w:t>
      </w:r>
      <w:r>
        <w:rPr>
          <w:rFonts w:ascii="Tahoma" w:hAnsi="Tahoma" w:cs="Tahoma"/>
          <w:sz w:val="22"/>
          <w:szCs w:val="22"/>
        </w:rPr>
        <w:t>bezplatné odstranění vady, neuvede-li v oznámení jinak.</w:t>
      </w:r>
    </w:p>
    <w:p w:rsidR="00FC43AE" w:rsidRDefault="00FC4952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Zhotovitel je povinen odstranit vadu díla nejpozději do 10 dnů od jejího oznámení objednatelem, pokud se smluvní strany v konkrétním případě nedohodnou písemně jinak. Takovou dohodu je za objednatele </w:t>
      </w:r>
      <w:r>
        <w:rPr>
          <w:rFonts w:ascii="Tahoma" w:hAnsi="Tahoma" w:cs="Tahoma"/>
          <w:sz w:val="22"/>
          <w:szCs w:val="22"/>
        </w:rPr>
        <w:t>oprávněna uzavřít kterákoli osoba uvedená v čl. I odst. 1 této smlouvy.</w:t>
      </w:r>
    </w:p>
    <w:p w:rsidR="00FC43AE" w:rsidRDefault="00FC4952">
      <w:pPr>
        <w:pStyle w:val="Standard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Provedenou opravu vady díla zhotovitel objednateli předá písemným protokolem.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Sankční ujednání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Nepředá-li zhotovitel objednateli dílo ve lhůtě dle čl. IV odst. 1 této smlouvy, je po</w:t>
      </w:r>
      <w:r>
        <w:rPr>
          <w:rFonts w:ascii="Tahoma" w:hAnsi="Tahoma" w:cs="Tahoma"/>
          <w:sz w:val="22"/>
          <w:szCs w:val="22"/>
        </w:rPr>
        <w:t>vinen uhradit objednateli smluvní pokutu ve výši 0,25 % z ceny díla bez DPH, a to za každý i započatý den prodlení.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Pokud zhotovitel neodstraní vadu díla ve lhůtě uvedené v čl. IX odst. 4 této smlouvy, je povinen uhradit objednateli smluvní pokutu ve výši </w:t>
      </w:r>
      <w:r>
        <w:rPr>
          <w:rFonts w:ascii="Tahoma" w:hAnsi="Tahoma" w:cs="Tahoma"/>
          <w:sz w:val="22"/>
          <w:szCs w:val="22"/>
        </w:rPr>
        <w:t>500,- Kč za každý případ a každý i započatý den prodlení.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nesouladu dojde v průběhu provádění stavby k dodatečným pracím ve finančním objemu přesahujícím 5 % celk</w:t>
      </w:r>
      <w:r>
        <w:rPr>
          <w:rFonts w:ascii="Tahoma" w:hAnsi="Tahoma" w:cs="Tahoma"/>
          <w:sz w:val="22"/>
          <w:szCs w:val="22"/>
        </w:rPr>
        <w:t>ové nabídkové ceny zhotovitele stavby, bude zhotovitel povinen uhradit objednateli smluvní pokutu ve výši 5</w:t>
      </w:r>
      <w:r>
        <w:rPr>
          <w:rFonts w:ascii="Tahoma" w:hAnsi="Tahoma" w:cs="Tahoma"/>
          <w:color w:val="FF00FF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% z ceny díla bez DPH.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</w:pPr>
      <w:r>
        <w:rPr>
          <w:rFonts w:ascii="Tahoma" w:hAnsi="Tahoma" w:cs="Tahoma"/>
          <w:sz w:val="22"/>
          <w:szCs w:val="22"/>
        </w:rPr>
        <w:t xml:space="preserve">V případě porušení povinnosti sjednané v čl. VI odst. 1 písm. f) této smlouvy, dojde-li porušením této povinnosti k prodlení </w:t>
      </w:r>
      <w:r>
        <w:rPr>
          <w:rFonts w:ascii="Tahoma" w:hAnsi="Tahoma" w:cs="Tahoma"/>
          <w:sz w:val="22"/>
          <w:szCs w:val="22"/>
        </w:rPr>
        <w:t>s plněním díla, je zhotovitel povinen zaplatit objednateli za každý případ smluvní pokutu ve výši 5.000</w:t>
      </w:r>
      <w:r>
        <w:rPr>
          <w:rFonts w:ascii="Tahoma" w:hAnsi="Tahoma" w:cs="Tahoma"/>
          <w:color w:val="FF00FF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Kč.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porušení povinnosti dle čl. VI odst. 1 písm. g) této smlouvy se zhotovitel zavazuje uhradit objednateli smluvní pokutu ve výši 0,01 % z ce</w:t>
      </w:r>
      <w:r>
        <w:rPr>
          <w:rFonts w:ascii="Tahoma" w:hAnsi="Tahoma" w:cs="Tahoma"/>
          <w:sz w:val="22"/>
          <w:szCs w:val="22"/>
        </w:rPr>
        <w:t>ny za dílo bez DPH za každý i započatý den prodlení u každého objednatelem zaslaného požadavku na poskytnutí vysvětlení.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</w:t>
      </w:r>
      <w:r>
        <w:rPr>
          <w:rFonts w:ascii="Tahoma" w:hAnsi="Tahoma" w:cs="Tahoma"/>
          <w:sz w:val="22"/>
          <w:szCs w:val="22"/>
        </w:rPr>
        <w:t>okud závazek splnit předmět smlouvy dle jejích jednotlivých částí zanikne před řádným termínem plnění, nezaniká nárok na smluvní pokutu, pokud vznikl dřívějším porušením smluvní povinnosti.</w:t>
      </w:r>
    </w:p>
    <w:p w:rsidR="00FC43AE" w:rsidRDefault="00FC4952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pokuty se nezapočítávají na náhradu případně vzniklé škody</w:t>
      </w:r>
      <w:r>
        <w:rPr>
          <w:rFonts w:ascii="Tahoma" w:hAnsi="Tahoma" w:cs="Tahoma"/>
          <w:sz w:val="22"/>
          <w:szCs w:val="22"/>
        </w:rPr>
        <w:t>, kterou lze vymáhat samostatně v plné výši vedle smluvní pokuty.</w:t>
      </w:r>
    </w:p>
    <w:p w:rsidR="00FC43AE" w:rsidRDefault="00FC4952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XI.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Závěrečná ujednání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dodatky této smlouvy a po</w:t>
      </w:r>
      <w:r>
        <w:rPr>
          <w:rFonts w:ascii="Tahoma" w:hAnsi="Tahoma" w:cs="Tahoma"/>
          <w:sz w:val="22"/>
          <w:szCs w:val="22"/>
        </w:rPr>
        <w:t>depsány oprávněnými zástupci smluvních stran.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prohlašují, že předmět plnění dle této smlouvy není plněním nemožným a že tuto smlouvu uzavřely po pečlivém zvážení všech možných důsledků.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zanikne jednostranným odstoupením od </w:t>
      </w:r>
      <w:r>
        <w:rPr>
          <w:rFonts w:ascii="Tahoma" w:hAnsi="Tahoma" w:cs="Tahoma"/>
          <w:sz w:val="22"/>
          <w:szCs w:val="22"/>
        </w:rPr>
        <w:t>smlouvy pro její podstatné porušení druhou smluvní stranou, přičemž podstatným porušením smlouvy se rozumí zejména:</w:t>
      </w:r>
    </w:p>
    <w:p w:rsidR="00FC43AE" w:rsidRDefault="00FC4952">
      <w:pPr>
        <w:pStyle w:val="slovanPododstavecSmlouvy"/>
        <w:numPr>
          <w:ilvl w:val="1"/>
          <w:numId w:val="31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:rsidR="00FC43AE" w:rsidRDefault="00FC4952">
      <w:pPr>
        <w:pStyle w:val="slovanPododstavecSmlouvy"/>
        <w:numPr>
          <w:ilvl w:val="1"/>
          <w:numId w:val="31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neuhrazení ceny díla nebo odměny objednatelem po druhé výzvě zhotovitele k uhraze</w:t>
      </w:r>
      <w:r>
        <w:rPr>
          <w:rFonts w:ascii="Tahoma" w:hAnsi="Tahoma" w:cs="Tahoma"/>
          <w:sz w:val="22"/>
          <w:szCs w:val="22"/>
        </w:rPr>
        <w:t>ní dlužné částky, přičemž druhá výzva nesmí následovat dříve než 30 dnů po doručení první výzvy.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:rsidR="00FC43AE" w:rsidRDefault="00FC4952">
      <w:pPr>
        <w:pStyle w:val="slovanPododstavecSmlouvy"/>
        <w:numPr>
          <w:ilvl w:val="1"/>
          <w:numId w:val="18"/>
        </w:numPr>
        <w:tabs>
          <w:tab w:val="clear" w:pos="28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bylo-li příslušným soudem rozhodnuto o tom, že zhotovitel je v úpadku ve smyslu </w:t>
      </w:r>
      <w:r>
        <w:rPr>
          <w:rFonts w:ascii="Tahoma" w:hAnsi="Tahoma" w:cs="Tahoma"/>
          <w:sz w:val="22"/>
          <w:szCs w:val="22"/>
        </w:rPr>
        <w:t>zákona č. 182/2006 Sb., o úpadku a způsobech jeho řešení (insolvenční zákon), ve znění pozdějších předpisů (a to bez ohledu na právní moc tohoto rozhodnutí);</w:t>
      </w:r>
    </w:p>
    <w:p w:rsidR="00FC43AE" w:rsidRDefault="00FC4952">
      <w:pPr>
        <w:pStyle w:val="slovanPododstavecSmlouvy"/>
        <w:numPr>
          <w:ilvl w:val="1"/>
          <w:numId w:val="18"/>
        </w:numPr>
        <w:tabs>
          <w:tab w:val="clear" w:pos="284"/>
        </w:tabs>
        <w:spacing w:before="60"/>
        <w:ind w:left="714" w:hanging="357"/>
      </w:pPr>
      <w:r>
        <w:rPr>
          <w:rFonts w:ascii="Tahoma" w:hAnsi="Tahoma" w:cs="Tahoma"/>
          <w:sz w:val="22"/>
          <w:szCs w:val="22"/>
        </w:rPr>
        <w:t>podá-li zhotovitel</w:t>
      </w:r>
      <w:bookmarkStart w:id="6" w:name="Bookmark5"/>
      <w:bookmarkEnd w:id="6"/>
      <w:r>
        <w:rPr>
          <w:rFonts w:ascii="Tahoma" w:hAnsi="Tahoma" w:cs="Tahoma"/>
          <w:sz w:val="22"/>
          <w:szCs w:val="22"/>
        </w:rPr>
        <w:t xml:space="preserve"> sám na sebe insolvenční návrh.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 účely této smlouvy se pod pojmem „bez zbyteč</w:t>
      </w:r>
      <w:r>
        <w:rPr>
          <w:rFonts w:ascii="Tahoma" w:hAnsi="Tahoma" w:cs="Tahoma"/>
          <w:sz w:val="22"/>
          <w:szCs w:val="22"/>
        </w:rPr>
        <w:t>ného odkladu“ dle § 2002 občanského zákoníku rozumí „nejpozději do tří týdnů“.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zániku závazku z této smlouvy před jeho řádným splněním je zhotovitel povinen ihned předat objednateli nedokončené dílo včetně věcí, které opatřil a které jsou součást</w:t>
      </w:r>
      <w:r>
        <w:rPr>
          <w:rFonts w:ascii="Tahoma" w:hAnsi="Tahoma" w:cs="Tahoma"/>
          <w:sz w:val="22"/>
          <w:szCs w:val="22"/>
        </w:rPr>
        <w:t>í díla a uhradit případně vzniklou škodu. Smluvní strany uzavřou dohodu, ve které upraví vzájemná práva a povinnosti.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Zhotovitel nemůže bez souhlasu objednatele postoupit svá práva a povinnosti plynoucí z této smlouvy třetí osobě.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nabývá platn</w:t>
      </w:r>
      <w:r>
        <w:rPr>
          <w:rFonts w:ascii="Tahoma" w:hAnsi="Tahoma" w:cs="Tahoma"/>
          <w:sz w:val="22"/>
          <w:szCs w:val="22"/>
        </w:rPr>
        <w:t>osti dnem jejího podpisu smluvními stranami a účinnosti dnem, kdy vyjádření souhlasu s obsahem návrhu smlouvy dojde druhé smluvní straně, pokud nestanoví zákon č. 340/2015 Sb., o zvláštních podmínkách účinnosti některých smluv, uveřejňování těchto smluv a </w:t>
      </w:r>
      <w:r>
        <w:rPr>
          <w:rFonts w:ascii="Tahoma" w:hAnsi="Tahoma" w:cs="Tahoma"/>
          <w:sz w:val="22"/>
          <w:szCs w:val="22"/>
        </w:rPr>
        <w:t>o registru smluv (zákon o registru smluv), jinak. V takovém případě smlouva nabývá účinnosti nejdříve dnem jejího uveřejnění v registru smluv. Smluvní strany se dohodly, že pokud se na tuto smlouvu vztahuje povinnost uveřejnění v registru smluv ve smyslu z</w:t>
      </w:r>
      <w:r>
        <w:rPr>
          <w:rFonts w:ascii="Tahoma" w:hAnsi="Tahoma" w:cs="Tahoma"/>
          <w:sz w:val="22"/>
          <w:szCs w:val="22"/>
        </w:rPr>
        <w:t>ákona o registru smluv, provede uveřejnění v souladu se zákonem objednatel.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</w:pPr>
      <w:r>
        <w:rPr>
          <w:rFonts w:ascii="Tahoma" w:hAnsi="Tahoma" w:cs="Tahoma"/>
          <w:sz w:val="22"/>
          <w:szCs w:val="22"/>
        </w:rPr>
        <w:t>Osobní údaje obsažené v této smlouvě budou objednatelem zpracovávány pouze pro účely plnění práv a povinností vyplývajících z této smlouvy; k jiným účelům nebudou tyto osobní údaje</w:t>
      </w:r>
      <w:r>
        <w:rPr>
          <w:rFonts w:ascii="Tahoma" w:hAnsi="Tahoma" w:cs="Tahoma"/>
          <w:sz w:val="22"/>
          <w:szCs w:val="22"/>
        </w:rPr>
        <w:t xml:space="preserve"> objednatelem použity. Objednatel při zpracovávání osobních údajů dodržuje platné právní předpisy. Podrobné informace o ochraně osobních údajů jsou uvedeny na oficiálních webových stránkách objednatele </w:t>
      </w:r>
      <w:hyperlink r:id="rId7" w:history="1">
        <w:r>
          <w:rPr>
            <w:rFonts w:ascii="Tahoma" w:hAnsi="Tahoma" w:cs="Tahoma"/>
            <w:sz w:val="22"/>
            <w:szCs w:val="22"/>
          </w:rPr>
          <w:t>www.gmk.cz</w:t>
        </w:r>
      </w:hyperlink>
      <w:r>
        <w:rPr>
          <w:rFonts w:ascii="Tahoma" w:hAnsi="Tahoma" w:cs="Tahoma"/>
          <w:sz w:val="22"/>
          <w:szCs w:val="22"/>
        </w:rPr>
        <w:t>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Tato smlouva je vyhotovena ve dvou stejnopisech s platností originálu podepsaných oprávněnými zástupci smluvních stran, přičemž objednatel obdrží tři a zhotovitel jedno </w:t>
      </w:r>
      <w:r>
        <w:rPr>
          <w:rFonts w:ascii="Tahoma" w:hAnsi="Tahoma" w:cs="Tahoma"/>
          <w:sz w:val="22"/>
          <w:szCs w:val="22"/>
        </w:rPr>
        <w:lastRenderedPageBreak/>
        <w:t>vyhotovení.</w:t>
      </w:r>
    </w:p>
    <w:p w:rsidR="00FC43AE" w:rsidRDefault="00FC4952">
      <w:pPr>
        <w:pStyle w:val="Smlouva-slo"/>
        <w:numPr>
          <w:ilvl w:val="0"/>
          <w:numId w:val="18"/>
        </w:numPr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shodně prohlašují, že si smlouvu před jejím podpisem přečet</w:t>
      </w:r>
      <w:r>
        <w:rPr>
          <w:rFonts w:ascii="Tahoma" w:hAnsi="Tahoma" w:cs="Tahoma"/>
          <w:sz w:val="22"/>
          <w:szCs w:val="22"/>
        </w:rPr>
        <w:t>ly a že byla uzavřena po vzájemném projednání podle jejich pravé a svobodné vůle, určitě, vážně a srozumitelně, nikoliv v tísni nebo za nápadně nevýhodných podmínek, a že se dohodly o celém jejím obsahu, což stvrzují svými podpisy.</w:t>
      </w:r>
    </w:p>
    <w:p w:rsidR="00FC43AE" w:rsidRDefault="00FC43AE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1984"/>
        <w:gridCol w:w="3545"/>
      </w:tblGrid>
      <w:tr w:rsidR="00FC43AE">
        <w:tblPrEx>
          <w:tblCellMar>
            <w:top w:w="0" w:type="dxa"/>
            <w:bottom w:w="0" w:type="dxa"/>
          </w:tblCellMar>
        </w:tblPrEx>
        <w:tc>
          <w:tcPr>
            <w:tcW w:w="35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Bílovci dne ………………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3AE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 ………………… dne ………………</w:t>
            </w:r>
          </w:p>
        </w:tc>
      </w:tr>
      <w:tr w:rsidR="00FC43AE">
        <w:tblPrEx>
          <w:tblCellMar>
            <w:top w:w="0" w:type="dxa"/>
            <w:bottom w:w="0" w:type="dxa"/>
          </w:tblCellMar>
        </w:tblPrEx>
        <w:trPr>
          <w:trHeight w:val="1626"/>
        </w:trPr>
        <w:tc>
          <w:tcPr>
            <w:tcW w:w="3543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43A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3543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:rsidR="00FC43AE" w:rsidRDefault="00FC4952">
            <w:pPr>
              <w:pStyle w:val="Standard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Mgr. Pavel Mrva</w:t>
            </w:r>
          </w:p>
          <w:p w:rsidR="00FC43AE" w:rsidRDefault="00FC43A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3AE" w:rsidRDefault="00FC43A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3AE" w:rsidRDefault="00FC4952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FC43AE" w:rsidRDefault="00FC43A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C43AE" w:rsidRDefault="00FC43AE">
      <w:pPr>
        <w:pStyle w:val="Standard"/>
        <w:jc w:val="both"/>
        <w:rPr>
          <w:rFonts w:ascii="Tahoma" w:hAnsi="Tahoma"/>
          <w:sz w:val="22"/>
          <w:szCs w:val="22"/>
        </w:rPr>
      </w:pPr>
    </w:p>
    <w:sectPr w:rsidR="00FC43AE">
      <w:headerReference w:type="default" r:id="rId8"/>
      <w:footerReference w:type="default" r:id="rId9"/>
      <w:headerReference w:type="first" r:id="rId10"/>
      <w:pgSz w:w="11906" w:h="16838"/>
      <w:pgMar w:top="1418" w:right="1418" w:bottom="56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52" w:rsidRDefault="00FC4952">
      <w:r>
        <w:separator/>
      </w:r>
    </w:p>
  </w:endnote>
  <w:endnote w:type="continuationSeparator" w:id="0">
    <w:p w:rsidR="00FC4952" w:rsidRDefault="00FC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A6" w:rsidRDefault="00FC4952">
    <w:pPr>
      <w:pStyle w:val="OdstavecSmlouvy"/>
      <w:keepLines w:val="0"/>
      <w:widowControl w:val="0"/>
      <w:tabs>
        <w:tab w:val="clear" w:pos="426"/>
        <w:tab w:val="clear" w:pos="1701"/>
        <w:tab w:val="left" w:pos="9461"/>
      </w:tabs>
      <w:spacing w:before="120" w:after="0"/>
      <w:ind w:left="357" w:hanging="357"/>
    </w:pPr>
    <w:r>
      <w:rPr>
        <w:rFonts w:ascii="Tahoma" w:hAnsi="Tahoma" w:cs="Tahoma"/>
        <w:i/>
        <w:iCs/>
        <w:sz w:val="18"/>
        <w:szCs w:val="18"/>
      </w:rPr>
      <w:tab/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>
      <w:rPr>
        <w:rFonts w:ascii="Tahoma" w:hAnsi="Tahoma" w:cs="Tahoma"/>
        <w:sz w:val="16"/>
        <w:szCs w:val="16"/>
      </w:rPr>
      <w:fldChar w:fldCharType="separate"/>
    </w:r>
    <w:r w:rsidR="00BA7FCC">
      <w:rPr>
        <w:rFonts w:ascii="Tahoma" w:hAnsi="Tahoma" w:cs="Tahoma"/>
        <w:noProof/>
        <w:sz w:val="16"/>
        <w:szCs w:val="16"/>
      </w:rPr>
      <w:t>4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</w:instrText>
    </w:r>
    <w:r>
      <w:rPr>
        <w:rFonts w:ascii="Tahoma" w:hAnsi="Tahoma" w:cs="Tahoma"/>
        <w:sz w:val="16"/>
        <w:szCs w:val="16"/>
      </w:rPr>
      <w:fldChar w:fldCharType="separate"/>
    </w:r>
    <w:r w:rsidR="00BA7FCC">
      <w:rPr>
        <w:rFonts w:ascii="Tahoma" w:hAnsi="Tahoma" w:cs="Tahoma"/>
        <w:noProof/>
        <w:sz w:val="16"/>
        <w:szCs w:val="16"/>
      </w:rPr>
      <w:t>8</w:t>
    </w:r>
    <w:r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52" w:rsidRDefault="00FC4952">
      <w:r>
        <w:rPr>
          <w:color w:val="000000"/>
        </w:rPr>
        <w:separator/>
      </w:r>
    </w:p>
  </w:footnote>
  <w:footnote w:type="continuationSeparator" w:id="0">
    <w:p w:rsidR="00FC4952" w:rsidRDefault="00FC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A6" w:rsidRDefault="00FC4952">
    <w:pPr>
      <w:pStyle w:val="Zhlav"/>
      <w:jc w:val="right"/>
    </w:pPr>
    <w:r>
      <w:t>VZ č. 14/2023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A6" w:rsidRDefault="00FC4952">
    <w:pPr>
      <w:pStyle w:val="Zhlav"/>
      <w:jc w:val="right"/>
    </w:pPr>
    <w:r>
      <w:t>VZ č. 14/2023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C30"/>
    <w:multiLevelType w:val="multilevel"/>
    <w:tmpl w:val="2D56C3B4"/>
    <w:styleLink w:val="WWNum10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" w15:restartNumberingAfterBreak="0">
    <w:nsid w:val="160029BF"/>
    <w:multiLevelType w:val="multilevel"/>
    <w:tmpl w:val="7C08E4DC"/>
    <w:styleLink w:val="WWNum2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16B555D4"/>
    <w:multiLevelType w:val="multilevel"/>
    <w:tmpl w:val="F7D2D840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D27089"/>
    <w:multiLevelType w:val="multilevel"/>
    <w:tmpl w:val="3392B0C0"/>
    <w:styleLink w:val="WWNum25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B8C7B75"/>
    <w:multiLevelType w:val="multilevel"/>
    <w:tmpl w:val="06E4CF9C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E8044D6"/>
    <w:multiLevelType w:val="multilevel"/>
    <w:tmpl w:val="20907FBA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E1F55"/>
    <w:multiLevelType w:val="multilevel"/>
    <w:tmpl w:val="80C68D0C"/>
    <w:styleLink w:val="WWNum29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7" w15:restartNumberingAfterBreak="0">
    <w:nsid w:val="1FAA7C7B"/>
    <w:multiLevelType w:val="multilevel"/>
    <w:tmpl w:val="BBA6503C"/>
    <w:styleLink w:val="WWNum4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249059C"/>
    <w:multiLevelType w:val="multilevel"/>
    <w:tmpl w:val="A1443624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ahoma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32B5ADA"/>
    <w:multiLevelType w:val="multilevel"/>
    <w:tmpl w:val="2C46D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9E0DAB"/>
    <w:multiLevelType w:val="multilevel"/>
    <w:tmpl w:val="FE8CF92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625568"/>
    <w:multiLevelType w:val="multilevel"/>
    <w:tmpl w:val="5AEEDF42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2" w15:restartNumberingAfterBreak="0">
    <w:nsid w:val="2C1963BD"/>
    <w:multiLevelType w:val="multilevel"/>
    <w:tmpl w:val="17E0457A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EF77B94"/>
    <w:multiLevelType w:val="multilevel"/>
    <w:tmpl w:val="6DB4EA58"/>
    <w:styleLink w:val="WWNum8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4" w15:restartNumberingAfterBreak="0">
    <w:nsid w:val="31293CC3"/>
    <w:multiLevelType w:val="multilevel"/>
    <w:tmpl w:val="807ED14A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15" w15:restartNumberingAfterBreak="0">
    <w:nsid w:val="32B621D5"/>
    <w:multiLevelType w:val="multilevel"/>
    <w:tmpl w:val="643817B4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5D20226"/>
    <w:multiLevelType w:val="multilevel"/>
    <w:tmpl w:val="3690A774"/>
    <w:styleLink w:val="WWNum18"/>
    <w:lvl w:ilvl="0">
      <w:start w:val="1"/>
      <w:numFmt w:val="decimal"/>
      <w:lvlText w:val="%1."/>
      <w:lvlJc w:val="left"/>
      <w:pPr>
        <w:ind w:left="357" w:hanging="357"/>
      </w:pPr>
      <w:rPr>
        <w:rFonts w:cs="Tahoma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632647D"/>
    <w:multiLevelType w:val="multilevel"/>
    <w:tmpl w:val="CAD4A40E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7771401"/>
    <w:multiLevelType w:val="multilevel"/>
    <w:tmpl w:val="3AA8B168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7B66EDA"/>
    <w:multiLevelType w:val="multilevel"/>
    <w:tmpl w:val="DC88F0F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AAA5498"/>
    <w:multiLevelType w:val="multilevel"/>
    <w:tmpl w:val="00808F02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E854571"/>
    <w:multiLevelType w:val="multilevel"/>
    <w:tmpl w:val="9D2AC17A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FA96EFE"/>
    <w:multiLevelType w:val="multilevel"/>
    <w:tmpl w:val="896A449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none"/>
      <w:lvlText w:val="%3-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1980" w:hanging="180"/>
      </w:pPr>
    </w:lvl>
    <w:lvl w:ilvl="6">
      <w:start w:val="1"/>
      <w:numFmt w:val="decimal"/>
      <w:lvlText w:val="%1.%2.%3.%4.%5.%6.%7."/>
      <w:lvlJc w:val="left"/>
      <w:pPr>
        <w:ind w:left="2340" w:hanging="360"/>
      </w:pPr>
    </w:lvl>
    <w:lvl w:ilvl="7">
      <w:start w:val="1"/>
      <w:numFmt w:val="lowerLetter"/>
      <w:lvlText w:val="%1.%2.%3.%4.%5.%6.%7.%8."/>
      <w:lvlJc w:val="left"/>
      <w:pPr>
        <w:ind w:left="2700" w:hanging="360"/>
      </w:pPr>
    </w:lvl>
    <w:lvl w:ilvl="8">
      <w:start w:val="1"/>
      <w:numFmt w:val="lowerRoman"/>
      <w:lvlText w:val="%1.%2.%3.%4.%5.%6.%7.%8.%9."/>
      <w:lvlJc w:val="left"/>
      <w:pPr>
        <w:ind w:left="2880" w:hanging="180"/>
      </w:pPr>
    </w:lvl>
  </w:abstractNum>
  <w:abstractNum w:abstractNumId="23" w15:restartNumberingAfterBreak="0">
    <w:nsid w:val="41E24088"/>
    <w:multiLevelType w:val="multilevel"/>
    <w:tmpl w:val="B95801E4"/>
    <w:styleLink w:val="WWNum15"/>
    <w:lvl w:ilvl="0">
      <w:start w:val="1"/>
      <w:numFmt w:val="lowerLetter"/>
      <w:lvlText w:val="%1)"/>
      <w:lvlJc w:val="left"/>
      <w:pPr>
        <w:ind w:left="283" w:hanging="283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2711F68"/>
    <w:multiLevelType w:val="multilevel"/>
    <w:tmpl w:val="28A2309C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none"/>
      <w:lvlText w:val="%3-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1980" w:hanging="180"/>
      </w:pPr>
    </w:lvl>
    <w:lvl w:ilvl="6">
      <w:start w:val="1"/>
      <w:numFmt w:val="decimal"/>
      <w:lvlText w:val="%1.%2.%3.%4.%5.%6.%7."/>
      <w:lvlJc w:val="left"/>
      <w:pPr>
        <w:ind w:left="2340" w:hanging="360"/>
      </w:pPr>
    </w:lvl>
    <w:lvl w:ilvl="7">
      <w:start w:val="1"/>
      <w:numFmt w:val="lowerLetter"/>
      <w:lvlText w:val="%1.%2.%3.%4.%5.%6.%7.%8."/>
      <w:lvlJc w:val="left"/>
      <w:pPr>
        <w:ind w:left="2700" w:hanging="360"/>
      </w:pPr>
    </w:lvl>
    <w:lvl w:ilvl="8">
      <w:start w:val="1"/>
      <w:numFmt w:val="lowerRoman"/>
      <w:lvlText w:val="%1.%2.%3.%4.%5.%6.%7.%8.%9."/>
      <w:lvlJc w:val="left"/>
      <w:pPr>
        <w:ind w:left="2880" w:hanging="180"/>
      </w:pPr>
    </w:lvl>
  </w:abstractNum>
  <w:abstractNum w:abstractNumId="25" w15:restartNumberingAfterBreak="0">
    <w:nsid w:val="446341D1"/>
    <w:multiLevelType w:val="multilevel"/>
    <w:tmpl w:val="3C8E917E"/>
    <w:styleLink w:val="WWNum4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6" w15:restartNumberingAfterBreak="0">
    <w:nsid w:val="447E519E"/>
    <w:multiLevelType w:val="multilevel"/>
    <w:tmpl w:val="A300E96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A55A3A"/>
    <w:multiLevelType w:val="multilevel"/>
    <w:tmpl w:val="45CC3830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881D33"/>
    <w:multiLevelType w:val="multilevel"/>
    <w:tmpl w:val="A5D455E8"/>
    <w:styleLink w:val="WWNum24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4F9E16D5"/>
    <w:multiLevelType w:val="multilevel"/>
    <w:tmpl w:val="32FC7EC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30" w15:restartNumberingAfterBreak="0">
    <w:nsid w:val="5098139C"/>
    <w:multiLevelType w:val="multilevel"/>
    <w:tmpl w:val="0CA0A0A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5A43E0A"/>
    <w:multiLevelType w:val="multilevel"/>
    <w:tmpl w:val="992A69C8"/>
    <w:styleLink w:val="WWNum14"/>
    <w:lvl w:ilvl="0">
      <w:start w:val="1"/>
      <w:numFmt w:val="lowerLetter"/>
      <w:lvlText w:val="%1)"/>
      <w:lvlJc w:val="left"/>
      <w:pPr>
        <w:ind w:left="737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B453D43"/>
    <w:multiLevelType w:val="multilevel"/>
    <w:tmpl w:val="F7D66F5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BF16E44"/>
    <w:multiLevelType w:val="multilevel"/>
    <w:tmpl w:val="D4D2392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46409D9"/>
    <w:multiLevelType w:val="multilevel"/>
    <w:tmpl w:val="0032E7A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3"/>
      <w:numFmt w:val="none"/>
      <w:lvlText w:val="%3-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1800" w:hanging="360"/>
      </w:pPr>
    </w:lvl>
    <w:lvl w:ilvl="5">
      <w:start w:val="1"/>
      <w:numFmt w:val="lowerRoman"/>
      <w:lvlText w:val="%1.%2.%3.%4.%5.%6."/>
      <w:lvlJc w:val="left"/>
      <w:pPr>
        <w:ind w:left="1980" w:hanging="180"/>
      </w:pPr>
    </w:lvl>
    <w:lvl w:ilvl="6">
      <w:start w:val="1"/>
      <w:numFmt w:val="decimal"/>
      <w:lvlText w:val="%1.%2.%3.%4.%5.%6.%7."/>
      <w:lvlJc w:val="left"/>
      <w:pPr>
        <w:ind w:left="2340" w:hanging="360"/>
      </w:pPr>
    </w:lvl>
    <w:lvl w:ilvl="7">
      <w:start w:val="1"/>
      <w:numFmt w:val="lowerLetter"/>
      <w:lvlText w:val="%1.%2.%3.%4.%5.%6.%7.%8."/>
      <w:lvlJc w:val="left"/>
      <w:pPr>
        <w:ind w:left="2700" w:hanging="360"/>
      </w:pPr>
    </w:lvl>
    <w:lvl w:ilvl="8">
      <w:start w:val="1"/>
      <w:numFmt w:val="lowerRoman"/>
      <w:lvlText w:val="%1.%2.%3.%4.%5.%6.%7.%8.%9."/>
      <w:lvlJc w:val="left"/>
      <w:pPr>
        <w:ind w:left="2880" w:hanging="180"/>
      </w:pPr>
    </w:lvl>
  </w:abstractNum>
  <w:abstractNum w:abstractNumId="35" w15:restartNumberingAfterBreak="0">
    <w:nsid w:val="66EB05C8"/>
    <w:multiLevelType w:val="multilevel"/>
    <w:tmpl w:val="DE10A9CA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76D179A"/>
    <w:multiLevelType w:val="multilevel"/>
    <w:tmpl w:val="2E96AE96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37" w15:restartNumberingAfterBreak="0">
    <w:nsid w:val="685E2187"/>
    <w:multiLevelType w:val="multilevel"/>
    <w:tmpl w:val="F2DC8836"/>
    <w:styleLink w:val="WW8Num3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8857BE1"/>
    <w:multiLevelType w:val="multilevel"/>
    <w:tmpl w:val="81169B1E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951037B"/>
    <w:multiLevelType w:val="multilevel"/>
    <w:tmpl w:val="43C68DE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A6D2CAC"/>
    <w:multiLevelType w:val="multilevel"/>
    <w:tmpl w:val="183E654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D662FE9"/>
    <w:multiLevelType w:val="multilevel"/>
    <w:tmpl w:val="8DC8C6DA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E614F5A"/>
    <w:multiLevelType w:val="multilevel"/>
    <w:tmpl w:val="06649286"/>
    <w:styleLink w:val="WWNum13"/>
    <w:lvl w:ilvl="0"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3" w15:restartNumberingAfterBreak="0">
    <w:nsid w:val="728E0BDD"/>
    <w:multiLevelType w:val="multilevel"/>
    <w:tmpl w:val="87843A14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3537E42"/>
    <w:multiLevelType w:val="multilevel"/>
    <w:tmpl w:val="EB9EB6F2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7DE4090"/>
    <w:multiLevelType w:val="multilevel"/>
    <w:tmpl w:val="4F0AA356"/>
    <w:styleLink w:val="WWNum2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81476E6"/>
    <w:multiLevelType w:val="multilevel"/>
    <w:tmpl w:val="305A5EDE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A671C34"/>
    <w:multiLevelType w:val="multilevel"/>
    <w:tmpl w:val="7B4453C6"/>
    <w:styleLink w:val="WWNum5"/>
    <w:lvl w:ilvl="0">
      <w:start w:val="1"/>
      <w:numFmt w:val="lowerLetter"/>
      <w:lvlText w:val="%1)"/>
      <w:lvlJc w:val="left"/>
      <w:pPr>
        <w:ind w:left="714" w:hanging="357"/>
      </w:pPr>
      <w:rPr>
        <w:rFonts w:cs="Tahoma"/>
        <w:i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EB00C11"/>
    <w:multiLevelType w:val="multilevel"/>
    <w:tmpl w:val="1220C300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F9F54A0"/>
    <w:multiLevelType w:val="multilevel"/>
    <w:tmpl w:val="A2E819F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9"/>
  </w:num>
  <w:num w:numId="2">
    <w:abstractNumId w:val="1"/>
  </w:num>
  <w:num w:numId="3">
    <w:abstractNumId w:val="14"/>
  </w:num>
  <w:num w:numId="4">
    <w:abstractNumId w:val="25"/>
  </w:num>
  <w:num w:numId="5">
    <w:abstractNumId w:val="47"/>
  </w:num>
  <w:num w:numId="6">
    <w:abstractNumId w:val="11"/>
  </w:num>
  <w:num w:numId="7">
    <w:abstractNumId w:val="29"/>
  </w:num>
  <w:num w:numId="8">
    <w:abstractNumId w:val="13"/>
  </w:num>
  <w:num w:numId="9">
    <w:abstractNumId w:val="36"/>
  </w:num>
  <w:num w:numId="10">
    <w:abstractNumId w:val="0"/>
  </w:num>
  <w:num w:numId="11">
    <w:abstractNumId w:val="19"/>
  </w:num>
  <w:num w:numId="12">
    <w:abstractNumId w:val="26"/>
  </w:num>
  <w:num w:numId="13">
    <w:abstractNumId w:val="42"/>
  </w:num>
  <w:num w:numId="14">
    <w:abstractNumId w:val="31"/>
  </w:num>
  <w:num w:numId="15">
    <w:abstractNumId w:val="23"/>
  </w:num>
  <w:num w:numId="16">
    <w:abstractNumId w:val="34"/>
  </w:num>
  <w:num w:numId="17">
    <w:abstractNumId w:val="48"/>
  </w:num>
  <w:num w:numId="18">
    <w:abstractNumId w:val="16"/>
  </w:num>
  <w:num w:numId="19">
    <w:abstractNumId w:val="27"/>
  </w:num>
  <w:num w:numId="20">
    <w:abstractNumId w:val="41"/>
  </w:num>
  <w:num w:numId="21">
    <w:abstractNumId w:val="4"/>
  </w:num>
  <w:num w:numId="22">
    <w:abstractNumId w:val="8"/>
  </w:num>
  <w:num w:numId="23">
    <w:abstractNumId w:val="22"/>
  </w:num>
  <w:num w:numId="24">
    <w:abstractNumId w:val="28"/>
  </w:num>
  <w:num w:numId="25">
    <w:abstractNumId w:val="3"/>
  </w:num>
  <w:num w:numId="26">
    <w:abstractNumId w:val="12"/>
  </w:num>
  <w:num w:numId="27">
    <w:abstractNumId w:val="45"/>
  </w:num>
  <w:num w:numId="28">
    <w:abstractNumId w:val="35"/>
  </w:num>
  <w:num w:numId="29">
    <w:abstractNumId w:val="6"/>
  </w:num>
  <w:num w:numId="30">
    <w:abstractNumId w:val="30"/>
  </w:num>
  <w:num w:numId="31">
    <w:abstractNumId w:val="24"/>
  </w:num>
  <w:num w:numId="32">
    <w:abstractNumId w:val="2"/>
  </w:num>
  <w:num w:numId="33">
    <w:abstractNumId w:val="32"/>
  </w:num>
  <w:num w:numId="34">
    <w:abstractNumId w:val="33"/>
  </w:num>
  <w:num w:numId="35">
    <w:abstractNumId w:val="46"/>
  </w:num>
  <w:num w:numId="36">
    <w:abstractNumId w:val="40"/>
  </w:num>
  <w:num w:numId="37">
    <w:abstractNumId w:val="43"/>
  </w:num>
  <w:num w:numId="38">
    <w:abstractNumId w:val="21"/>
  </w:num>
  <w:num w:numId="39">
    <w:abstractNumId w:val="44"/>
  </w:num>
  <w:num w:numId="40">
    <w:abstractNumId w:val="39"/>
  </w:num>
  <w:num w:numId="41">
    <w:abstractNumId w:val="10"/>
  </w:num>
  <w:num w:numId="42">
    <w:abstractNumId w:val="20"/>
  </w:num>
  <w:num w:numId="43">
    <w:abstractNumId w:val="38"/>
  </w:num>
  <w:num w:numId="44">
    <w:abstractNumId w:val="7"/>
  </w:num>
  <w:num w:numId="45">
    <w:abstractNumId w:val="18"/>
  </w:num>
  <w:num w:numId="46">
    <w:abstractNumId w:val="17"/>
  </w:num>
  <w:num w:numId="47">
    <w:abstractNumId w:val="5"/>
  </w:num>
  <w:num w:numId="48">
    <w:abstractNumId w:val="15"/>
  </w:num>
  <w:num w:numId="49">
    <w:abstractNumId w:val="37"/>
  </w:num>
  <w:num w:numId="50">
    <w:abstractNumId w:val="19"/>
    <w:lvlOverride w:ilvl="0">
      <w:startOverride w:val="1"/>
    </w:lvlOverride>
  </w:num>
  <w:num w:numId="51">
    <w:abstractNumId w:val="28"/>
    <w:lvlOverride w:ilvl="0">
      <w:startOverride w:val="2"/>
    </w:lvlOverride>
  </w:num>
  <w:num w:numId="52">
    <w:abstractNumId w:val="4"/>
    <w:lvlOverride w:ilvl="0">
      <w:startOverride w:val="1"/>
    </w:lvlOverride>
  </w:num>
  <w:num w:numId="53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43AE"/>
    <w:rsid w:val="00BA7FCC"/>
    <w:rsid w:val="00FC43AE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4FF3-159D-469F-A2C7-8097729D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Standard"/>
    <w:next w:val="Textbody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zev">
    <w:name w:val="Title"/>
    <w:basedOn w:val="Standard"/>
    <w:next w:val="Podnadpis"/>
    <w:pPr>
      <w:jc w:val="center"/>
    </w:pPr>
    <w:rPr>
      <w:b/>
      <w:bCs/>
      <w:sz w:val="32"/>
      <w:szCs w:val="36"/>
    </w:rPr>
  </w:style>
  <w:style w:type="paragraph" w:styleId="Podnadpis">
    <w:name w:val="Subtitle"/>
    <w:basedOn w:val="Standard"/>
    <w:next w:val="Textbody"/>
    <w:pPr>
      <w:jc w:val="center"/>
    </w:pPr>
    <w:rPr>
      <w:b/>
      <w:i/>
      <w:iCs/>
      <w:color w:val="000000"/>
      <w:sz w:val="28"/>
      <w:szCs w:val="20"/>
    </w:rPr>
  </w:style>
  <w:style w:type="paragraph" w:customStyle="1" w:styleId="Textbodyindent">
    <w:name w:val="Text body indent"/>
    <w:basedOn w:val="Standard"/>
    <w:pPr>
      <w:ind w:left="-180" w:hanging="360"/>
      <w:jc w:val="both"/>
    </w:pPr>
  </w:style>
  <w:style w:type="paragraph" w:styleId="Zkladntextodsazen2">
    <w:name w:val="Body Text Indent 2"/>
    <w:basedOn w:val="Standard"/>
    <w:pPr>
      <w:ind w:hanging="360"/>
      <w:jc w:val="both"/>
    </w:pPr>
  </w:style>
  <w:style w:type="paragraph" w:styleId="Zkladntextodsazen3">
    <w:name w:val="Body Text Indent 3"/>
    <w:basedOn w:val="Standard"/>
    <w:pPr>
      <w:ind w:left="540" w:hanging="540"/>
      <w:jc w:val="both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Smlouva-eslo">
    <w:name w:val="Smlouva-eíslo"/>
    <w:basedOn w:val="Standard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Standard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Textbody"/>
    <w:pPr>
      <w:tabs>
        <w:tab w:val="clear" w:pos="540"/>
        <w:tab w:val="clear" w:pos="1260"/>
        <w:tab w:val="clear" w:pos="1980"/>
        <w:tab w:val="clear" w:pos="3960"/>
        <w:tab w:val="left" w:pos="284"/>
      </w:tabs>
    </w:pPr>
  </w:style>
  <w:style w:type="paragraph" w:customStyle="1" w:styleId="NzevlnkuSmlouvy">
    <w:name w:val="NázevČlánkuSmlouvy"/>
    <w:basedOn w:val="Standard"/>
    <w:pPr>
      <w:keepNext/>
      <w:widowControl w:val="0"/>
      <w:spacing w:after="120"/>
      <w:jc w:val="center"/>
    </w:pPr>
    <w:rPr>
      <w:b/>
      <w:szCs w:val="20"/>
    </w:rPr>
  </w:style>
  <w:style w:type="paragraph" w:customStyle="1" w:styleId="OdstavecSmlouvy">
    <w:name w:val="OdstavecSmlouvy"/>
    <w:basedOn w:val="Standard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Standard"/>
    <w:pPr>
      <w:tabs>
        <w:tab w:val="left" w:pos="357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Standard"/>
    <w:pPr>
      <w:ind w:left="357"/>
    </w:pPr>
    <w:rPr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customStyle="1" w:styleId="Smlouva-slo">
    <w:name w:val="Smlouva-číslo"/>
    <w:basedOn w:val="Standard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3">
    <w:name w:val="Smlouva3"/>
    <w:basedOn w:val="Standard"/>
    <w:pPr>
      <w:widowControl w:val="0"/>
      <w:spacing w:before="120"/>
      <w:jc w:val="both"/>
    </w:pPr>
    <w:rPr>
      <w:szCs w:val="20"/>
    </w:rPr>
  </w:style>
  <w:style w:type="paragraph" w:customStyle="1" w:styleId="Smlouva2">
    <w:name w:val="Smlouva2"/>
    <w:basedOn w:val="Standard"/>
    <w:pPr>
      <w:jc w:val="center"/>
    </w:pPr>
    <w:rPr>
      <w:b/>
      <w:szCs w:val="20"/>
    </w:rPr>
  </w:style>
  <w:style w:type="paragraph" w:customStyle="1" w:styleId="Smlouva-slo0">
    <w:name w:val="Smlouva-èíslo"/>
    <w:basedOn w:val="Standard"/>
    <w:pPr>
      <w:spacing w:before="120" w:line="240" w:lineRule="atLeast"/>
      <w:jc w:val="both"/>
    </w:pPr>
    <w:rPr>
      <w:szCs w:val="20"/>
    </w:rPr>
  </w:style>
  <w:style w:type="paragraph" w:customStyle="1" w:styleId="odstavecsmlouvy0">
    <w:name w:val="odstavecsmlouvy"/>
    <w:basedOn w:val="Standard"/>
    <w:pPr>
      <w:spacing w:before="100" w:after="100"/>
    </w:pPr>
  </w:style>
  <w:style w:type="paragraph" w:customStyle="1" w:styleId="CharCharChar">
    <w:name w:val="Char Char Char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pPr>
      <w:widowControl/>
      <w:suppressAutoHyphens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rPr>
      <w:sz w:val="16"/>
      <w:szCs w:val="16"/>
    </w:rPr>
  </w:style>
  <w:style w:type="character" w:customStyle="1" w:styleId="Zvraznn">
    <w:name w:val="Zvýraznění"/>
    <w:rPr>
      <w:i/>
      <w:iCs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patChar">
    <w:name w:val="Zápatí Char"/>
    <w:basedOn w:val="Standardnpsmoodstavce"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Tahoma"/>
      <w:i w:val="0"/>
      <w:color w:val="00000A"/>
      <w:sz w:val="22"/>
      <w:szCs w:val="22"/>
    </w:rPr>
  </w:style>
  <w:style w:type="character" w:customStyle="1" w:styleId="ListLabel2">
    <w:name w:val="ListLabel 2"/>
    <w:rPr>
      <w:i w:val="0"/>
      <w:strike w:val="0"/>
      <w:dstrike w:val="0"/>
      <w:color w:val="00000A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b w:val="0"/>
      <w:i w:val="0"/>
      <w:sz w:val="22"/>
      <w:szCs w:val="22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cs="Tahoma"/>
      <w:b w:val="0"/>
      <w:i w:val="0"/>
      <w:sz w:val="22"/>
      <w:szCs w:val="22"/>
    </w:rPr>
  </w:style>
  <w:style w:type="character" w:customStyle="1" w:styleId="ListLabel8">
    <w:name w:val="ListLabel 8"/>
    <w:rPr>
      <w:rFonts w:cs="Tahoma"/>
      <w:b w:val="0"/>
      <w:i w:val="0"/>
      <w:color w:val="00000A"/>
      <w:sz w:val="22"/>
      <w:szCs w:val="22"/>
    </w:rPr>
  </w:style>
  <w:style w:type="character" w:customStyle="1" w:styleId="ListLabel9">
    <w:name w:val="ListLabel 9"/>
    <w:rPr>
      <w:rFonts w:cs="Courier New"/>
    </w:rPr>
  </w:style>
  <w:style w:type="character" w:customStyle="1" w:styleId="NumberingSymbols">
    <w:name w:val="Numbering Symbols"/>
  </w:style>
  <w:style w:type="character" w:customStyle="1" w:styleId="WW8Num30z0">
    <w:name w:val="WW8Num30z0"/>
    <w:rPr>
      <w:rFonts w:ascii="Tahoma" w:hAnsi="Tahoma" w:cs="Tahoma"/>
      <w:b w:val="0"/>
      <w:i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numbering" w:customStyle="1" w:styleId="WWNum38">
    <w:name w:val="WWNum38"/>
    <w:basedOn w:val="Bezseznamu"/>
    <w:pPr>
      <w:numPr>
        <w:numId w:val="38"/>
      </w:numPr>
    </w:pPr>
  </w:style>
  <w:style w:type="numbering" w:customStyle="1" w:styleId="WWNum39">
    <w:name w:val="WWNum39"/>
    <w:basedOn w:val="Bezseznamu"/>
    <w:pPr>
      <w:numPr>
        <w:numId w:val="39"/>
      </w:numPr>
    </w:pPr>
  </w:style>
  <w:style w:type="numbering" w:customStyle="1" w:styleId="WWNum40">
    <w:name w:val="WWNum40"/>
    <w:basedOn w:val="Bezseznamu"/>
    <w:pPr>
      <w:numPr>
        <w:numId w:val="40"/>
      </w:numPr>
    </w:pPr>
  </w:style>
  <w:style w:type="numbering" w:customStyle="1" w:styleId="WWNum41">
    <w:name w:val="WWNum41"/>
    <w:basedOn w:val="Bezseznamu"/>
    <w:pPr>
      <w:numPr>
        <w:numId w:val="41"/>
      </w:numPr>
    </w:pPr>
  </w:style>
  <w:style w:type="numbering" w:customStyle="1" w:styleId="WWNum42">
    <w:name w:val="WWNum42"/>
    <w:basedOn w:val="Bezseznamu"/>
    <w:pPr>
      <w:numPr>
        <w:numId w:val="42"/>
      </w:numPr>
    </w:pPr>
  </w:style>
  <w:style w:type="numbering" w:customStyle="1" w:styleId="WWNum43">
    <w:name w:val="WWNum43"/>
    <w:basedOn w:val="Bezseznamu"/>
    <w:pPr>
      <w:numPr>
        <w:numId w:val="43"/>
      </w:numPr>
    </w:pPr>
  </w:style>
  <w:style w:type="numbering" w:customStyle="1" w:styleId="WWNum44">
    <w:name w:val="WWNum44"/>
    <w:basedOn w:val="Bezseznamu"/>
    <w:pPr>
      <w:numPr>
        <w:numId w:val="44"/>
      </w:numPr>
    </w:pPr>
  </w:style>
  <w:style w:type="numbering" w:customStyle="1" w:styleId="WWNum45">
    <w:name w:val="WWNum45"/>
    <w:basedOn w:val="Bezseznamu"/>
    <w:pPr>
      <w:numPr>
        <w:numId w:val="45"/>
      </w:numPr>
    </w:pPr>
  </w:style>
  <w:style w:type="numbering" w:customStyle="1" w:styleId="WWNum46">
    <w:name w:val="WWNum46"/>
    <w:basedOn w:val="Bezseznamu"/>
    <w:pPr>
      <w:numPr>
        <w:numId w:val="46"/>
      </w:numPr>
    </w:pPr>
  </w:style>
  <w:style w:type="numbering" w:customStyle="1" w:styleId="WWNum47">
    <w:name w:val="WWNum47"/>
    <w:basedOn w:val="Bezseznamu"/>
    <w:pPr>
      <w:numPr>
        <w:numId w:val="47"/>
      </w:numPr>
    </w:pPr>
  </w:style>
  <w:style w:type="numbering" w:customStyle="1" w:styleId="WWNum48">
    <w:name w:val="WWNum48"/>
    <w:basedOn w:val="Bezseznamu"/>
    <w:pPr>
      <w:numPr>
        <w:numId w:val="48"/>
      </w:numPr>
    </w:pPr>
  </w:style>
  <w:style w:type="numbering" w:customStyle="1" w:styleId="WW8Num30">
    <w:name w:val="WW8Num30"/>
    <w:basedOn w:val="Bezseznamu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plnitweb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vsustek</cp:lastModifiedBy>
  <cp:revision>2</cp:revision>
  <cp:lastPrinted>2011-06-13T13:43:00Z</cp:lastPrinted>
  <dcterms:created xsi:type="dcterms:W3CDTF">2023-11-01T11:25:00Z</dcterms:created>
  <dcterms:modified xsi:type="dcterms:W3CDTF">2023-11-01T11:25:00Z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Moravskoslezský kraj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