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506A5D">
        <w:rPr>
          <w:rFonts w:ascii="Arial" w:eastAsia="Times New Roman" w:hAnsi="Arial" w:cs="Arial"/>
          <w:sz w:val="23"/>
          <w:szCs w:val="23"/>
        </w:rPr>
        <w:t>e sídlem: m17. listopadu 526/18, 743 01 Bílovec</w:t>
      </w:r>
    </w:p>
    <w:p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144DD3">
        <w:rPr>
          <w:rFonts w:ascii="Arial" w:hAnsi="Arial" w:cs="Arial"/>
          <w:b/>
          <w:sz w:val="23"/>
          <w:szCs w:val="23"/>
        </w:rPr>
        <w:t>zboží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144DD3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 xml:space="preserve">ady, které se ke Zboží </w:t>
      </w:r>
      <w:r w:rsidR="006868E6" w:rsidRPr="00144DD3">
        <w:rPr>
          <w:rFonts w:ascii="Arial" w:hAnsi="Arial" w:cs="Arial"/>
          <w:sz w:val="23"/>
          <w:szCs w:val="23"/>
        </w:rPr>
        <w:t>vztahují</w:t>
      </w:r>
      <w:r w:rsidR="009A3D16" w:rsidRPr="00144DD3">
        <w:rPr>
          <w:rFonts w:ascii="Arial" w:hAnsi="Arial" w:cs="Arial"/>
          <w:sz w:val="23"/>
          <w:szCs w:val="23"/>
        </w:rPr>
        <w:t xml:space="preserve"> </w:t>
      </w:r>
      <w:r w:rsidRPr="00144DD3">
        <w:rPr>
          <w:rFonts w:ascii="Arial" w:hAnsi="Arial" w:cs="Arial"/>
          <w:sz w:val="23"/>
          <w:szCs w:val="23"/>
        </w:rPr>
        <w:t>Kupujícímu</w:t>
      </w:r>
      <w:r w:rsidR="003F7B02" w:rsidRPr="00144DD3">
        <w:rPr>
          <w:rFonts w:ascii="Arial" w:hAnsi="Arial" w:cs="Arial"/>
          <w:sz w:val="23"/>
          <w:szCs w:val="23"/>
        </w:rPr>
        <w:t xml:space="preserve"> </w:t>
      </w:r>
      <w:r w:rsidR="00763FDA" w:rsidRPr="00144DD3">
        <w:rPr>
          <w:rFonts w:ascii="Arial" w:hAnsi="Arial" w:cs="Arial"/>
          <w:sz w:val="23"/>
          <w:szCs w:val="23"/>
        </w:rPr>
        <w:t xml:space="preserve">do </w:t>
      </w:r>
      <w:r w:rsidR="00F1528A">
        <w:rPr>
          <w:rFonts w:ascii="Arial" w:hAnsi="Arial" w:cs="Arial"/>
          <w:b/>
          <w:sz w:val="23"/>
          <w:szCs w:val="23"/>
        </w:rPr>
        <w:t>31</w:t>
      </w:r>
      <w:r w:rsidR="00D22109" w:rsidRPr="00144DD3">
        <w:rPr>
          <w:rFonts w:ascii="Arial" w:hAnsi="Arial" w:cs="Arial"/>
          <w:b/>
          <w:sz w:val="23"/>
          <w:szCs w:val="23"/>
        </w:rPr>
        <w:t>. 8. 2023</w:t>
      </w:r>
      <w:r w:rsidR="00D22109" w:rsidRPr="00144DD3">
        <w:rPr>
          <w:rFonts w:ascii="Arial" w:hAnsi="Arial" w:cs="Arial"/>
          <w:sz w:val="23"/>
          <w:szCs w:val="23"/>
        </w:rPr>
        <w:t>.</w:t>
      </w: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95" w:rsidRDefault="00BD5D95" w:rsidP="00FF18EB">
      <w:pPr>
        <w:spacing w:after="0" w:line="240" w:lineRule="auto"/>
      </w:pPr>
      <w:r>
        <w:separator/>
      </w:r>
    </w:p>
  </w:endnote>
  <w:endnote w:type="continuationSeparator" w:id="0">
    <w:p w:rsidR="00BD5D95" w:rsidRDefault="00BD5D95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7" w:rsidRDefault="00144DD3" w:rsidP="001940F3">
    <w:pPr>
      <w:pStyle w:val="Zpat"/>
      <w:pBdr>
        <w:bottom w:val="single" w:sz="6" w:space="1" w:color="auto"/>
      </w:pBdr>
      <w:jc w:val="center"/>
    </w:pPr>
    <w:r>
      <w:t xml:space="preserve">„Nákup IT vybavení – </w:t>
    </w:r>
    <w:r w:rsidR="001940F3">
      <w:t>robotické sada: Vex IQ Třídní sada</w:t>
    </w:r>
    <w:r>
      <w:t>“</w:t>
    </w:r>
  </w:p>
  <w:p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1528A"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1528A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95" w:rsidRDefault="00BD5D95" w:rsidP="00FF18EB">
      <w:pPr>
        <w:spacing w:after="0" w:line="240" w:lineRule="auto"/>
      </w:pPr>
      <w:r>
        <w:separator/>
      </w:r>
    </w:p>
  </w:footnote>
  <w:footnote w:type="continuationSeparator" w:id="0">
    <w:p w:rsidR="00BD5D95" w:rsidRDefault="00BD5D95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D" w:rsidRPr="00506A5D" w:rsidRDefault="00506A5D">
    <w:pPr>
      <w:pStyle w:val="Zhlav"/>
      <w:rPr>
        <w:lang w:val="en-US"/>
      </w:rPr>
    </w:pPr>
    <w:r w:rsidRPr="00144DD3">
      <w:rPr>
        <w:lang w:val="en-US"/>
      </w:rPr>
      <w:t>VZ č.</w:t>
    </w:r>
    <w:r w:rsidR="00F1528A">
      <w:rPr>
        <w:lang w:val="en-US"/>
      </w:rPr>
      <w:t xml:space="preserve"> 12</w:t>
    </w:r>
    <w:r w:rsidR="00B11045" w:rsidRPr="00144DD3">
      <w:rPr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13B40"/>
    <w:rsid w:val="00124789"/>
    <w:rsid w:val="001333EC"/>
    <w:rsid w:val="001341A7"/>
    <w:rsid w:val="00134BC1"/>
    <w:rsid w:val="00142BD2"/>
    <w:rsid w:val="00144DD3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40F3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A3CBC"/>
    <w:rsid w:val="002D6FF4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4E5D"/>
    <w:rsid w:val="0075205D"/>
    <w:rsid w:val="0075554C"/>
    <w:rsid w:val="00763FDA"/>
    <w:rsid w:val="00775695"/>
    <w:rsid w:val="00782A0F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113C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D95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1528A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D6A99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06A62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1545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vsustek</cp:lastModifiedBy>
  <cp:revision>17</cp:revision>
  <cp:lastPrinted>2019-04-03T11:14:00Z</cp:lastPrinted>
  <dcterms:created xsi:type="dcterms:W3CDTF">2019-04-15T07:33:00Z</dcterms:created>
  <dcterms:modified xsi:type="dcterms:W3CDTF">2023-06-26T12:19:00Z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